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0FEC6" w14:textId="77777777" w:rsidR="000F184F" w:rsidRPr="00605672" w:rsidRDefault="000F184F" w:rsidP="000F184F">
      <w:pPr>
        <w:pStyle w:val="NormalFirstline05"/>
        <w:spacing w:after="240" w:line="240" w:lineRule="auto"/>
        <w:ind w:firstLine="0"/>
        <w:jc w:val="center"/>
        <w:rPr>
          <w:caps/>
        </w:rPr>
      </w:pPr>
      <w:bookmarkStart w:id="0" w:name="_Toc438436694"/>
      <w:bookmarkStart w:id="1" w:name="_Toc465691182"/>
      <w:bookmarkStart w:id="2" w:name="_Toc508089107"/>
      <w:r w:rsidRPr="00605672">
        <w:rPr>
          <w:b/>
        </w:rPr>
        <w:t xml:space="preserve">Relationship Governance Dynamics: </w:t>
      </w:r>
      <w:r w:rsidRPr="00605672">
        <w:rPr>
          <w:b/>
        </w:rPr>
        <w:br/>
        <w:t>The Role of Partner Selection Efforts and Mutual Investments</w:t>
      </w:r>
    </w:p>
    <w:p w14:paraId="10BAA27D" w14:textId="77777777" w:rsidR="000F184F" w:rsidRPr="00605672" w:rsidRDefault="000F184F" w:rsidP="000F184F">
      <w:pPr>
        <w:rPr>
          <w:b/>
        </w:rPr>
      </w:pPr>
    </w:p>
    <w:p w14:paraId="62F83D7F" w14:textId="77777777" w:rsidR="000F184F" w:rsidRPr="00605672" w:rsidRDefault="000F184F" w:rsidP="000F184F">
      <w:pPr>
        <w:rPr>
          <w:b/>
        </w:rPr>
      </w:pPr>
    </w:p>
    <w:p w14:paraId="685C11CB" w14:textId="77777777" w:rsidR="000F184F" w:rsidRPr="00605672" w:rsidRDefault="000F184F" w:rsidP="000F184F">
      <w:pPr>
        <w:jc w:val="center"/>
        <w:rPr>
          <w:b/>
        </w:rPr>
      </w:pPr>
    </w:p>
    <w:p w14:paraId="2F237EBA" w14:textId="77777777" w:rsidR="000F184F" w:rsidRPr="00605672" w:rsidRDefault="000F184F" w:rsidP="000F184F">
      <w:pPr>
        <w:pStyle w:val="Content"/>
        <w:keepNext w:val="0"/>
        <w:tabs>
          <w:tab w:val="clear" w:pos="28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jc w:val="left"/>
        <w:rPr>
          <w:caps w:val="0"/>
          <w:kern w:val="0"/>
          <w:szCs w:val="24"/>
        </w:rPr>
      </w:pPr>
    </w:p>
    <w:p w14:paraId="7FC16136" w14:textId="77777777" w:rsidR="000F184F" w:rsidRPr="00605672" w:rsidRDefault="000F184F" w:rsidP="000F184F">
      <w:pPr>
        <w:outlineLvl w:val="0"/>
      </w:pPr>
    </w:p>
    <w:p w14:paraId="38BB44EF" w14:textId="77777777" w:rsidR="000F184F" w:rsidRPr="00605672" w:rsidRDefault="000F184F" w:rsidP="000F184F">
      <w:pPr>
        <w:jc w:val="center"/>
        <w:outlineLvl w:val="0"/>
      </w:pPr>
      <w:r w:rsidRPr="00605672">
        <w:t>Kenneth H. Wathne*</w:t>
      </w:r>
    </w:p>
    <w:p w14:paraId="03506975" w14:textId="77777777" w:rsidR="000F184F" w:rsidRPr="00605672" w:rsidRDefault="000F184F" w:rsidP="000F184F">
      <w:pPr>
        <w:jc w:val="center"/>
        <w:outlineLvl w:val="0"/>
      </w:pPr>
      <w:r w:rsidRPr="00605672">
        <w:t>Jan B. Heide</w:t>
      </w:r>
    </w:p>
    <w:p w14:paraId="3EEA5ECF" w14:textId="77777777" w:rsidR="000F184F" w:rsidRPr="00727D37" w:rsidRDefault="00AA5B5D" w:rsidP="000F184F">
      <w:pPr>
        <w:jc w:val="center"/>
        <w:outlineLvl w:val="0"/>
        <w:rPr>
          <w:lang w:val="nb-NO"/>
        </w:rPr>
      </w:pPr>
      <w:r w:rsidRPr="00727D37">
        <w:rPr>
          <w:lang w:val="nb-NO"/>
        </w:rPr>
        <w:t>Erik A. Mooi</w:t>
      </w:r>
    </w:p>
    <w:p w14:paraId="4043F29C" w14:textId="77777777" w:rsidR="000F184F" w:rsidRPr="00727D37" w:rsidRDefault="00AA5B5D" w:rsidP="000F184F">
      <w:pPr>
        <w:jc w:val="center"/>
        <w:outlineLvl w:val="0"/>
        <w:rPr>
          <w:lang w:val="nb-NO"/>
        </w:rPr>
      </w:pPr>
      <w:r w:rsidRPr="00727D37">
        <w:rPr>
          <w:lang w:val="nb-NO"/>
        </w:rPr>
        <w:t>Alok Kumar</w:t>
      </w:r>
    </w:p>
    <w:p w14:paraId="09BF1920" w14:textId="77777777" w:rsidR="000F184F" w:rsidRPr="00727D37" w:rsidRDefault="000F184F" w:rsidP="000F184F">
      <w:pPr>
        <w:jc w:val="center"/>
        <w:outlineLvl w:val="0"/>
        <w:rPr>
          <w:lang w:val="nb-NO"/>
        </w:rPr>
      </w:pPr>
    </w:p>
    <w:p w14:paraId="03339AEC" w14:textId="77777777" w:rsidR="000F184F" w:rsidRPr="00727D37" w:rsidRDefault="000F184F" w:rsidP="000F184F">
      <w:pPr>
        <w:jc w:val="center"/>
        <w:rPr>
          <w:lang w:val="nb-NO"/>
        </w:rPr>
      </w:pPr>
    </w:p>
    <w:p w14:paraId="6DCB0F59" w14:textId="77777777" w:rsidR="000F184F" w:rsidRPr="00727D37" w:rsidRDefault="000F184F" w:rsidP="000F184F">
      <w:pPr>
        <w:outlineLvl w:val="0"/>
        <w:rPr>
          <w:lang w:val="nb-NO"/>
        </w:rPr>
      </w:pPr>
    </w:p>
    <w:p w14:paraId="2218AB58" w14:textId="77777777" w:rsidR="000F184F" w:rsidRPr="00727D37" w:rsidRDefault="000F184F" w:rsidP="000F184F">
      <w:pPr>
        <w:jc w:val="center"/>
        <w:outlineLvl w:val="0"/>
        <w:rPr>
          <w:lang w:val="nb-NO"/>
        </w:rPr>
      </w:pPr>
    </w:p>
    <w:p w14:paraId="277209A4" w14:textId="77777777" w:rsidR="000F184F" w:rsidRPr="00727D37" w:rsidRDefault="00AA5B5D" w:rsidP="000F184F">
      <w:pPr>
        <w:jc w:val="center"/>
        <w:outlineLvl w:val="0"/>
        <w:rPr>
          <w:lang w:val="nb-NO"/>
        </w:rPr>
      </w:pPr>
      <w:r w:rsidRPr="00727D37">
        <w:rPr>
          <w:lang w:val="nb-NO"/>
        </w:rPr>
        <w:t xml:space="preserve"> April, 2018</w:t>
      </w:r>
    </w:p>
    <w:p w14:paraId="5CE894AB" w14:textId="77777777" w:rsidR="000F184F" w:rsidRPr="00727D37" w:rsidRDefault="000F184F" w:rsidP="000F184F">
      <w:pPr>
        <w:jc w:val="center"/>
        <w:outlineLvl w:val="0"/>
        <w:rPr>
          <w:lang w:val="nb-NO"/>
        </w:rPr>
      </w:pPr>
    </w:p>
    <w:p w14:paraId="619C57E2" w14:textId="77777777" w:rsidR="000F184F" w:rsidRPr="00727D37" w:rsidRDefault="000F184F" w:rsidP="000F184F">
      <w:pPr>
        <w:jc w:val="center"/>
        <w:outlineLvl w:val="0"/>
        <w:rPr>
          <w:lang w:val="nb-NO"/>
        </w:rPr>
      </w:pPr>
    </w:p>
    <w:p w14:paraId="45E46B4B" w14:textId="77777777" w:rsidR="000F184F" w:rsidRPr="00727D37" w:rsidRDefault="000F184F" w:rsidP="000F184F">
      <w:pPr>
        <w:jc w:val="center"/>
        <w:outlineLvl w:val="0"/>
        <w:rPr>
          <w:lang w:val="nb-NO"/>
        </w:rPr>
      </w:pPr>
    </w:p>
    <w:p w14:paraId="6CF3F434" w14:textId="6BAB1805" w:rsidR="000F184F" w:rsidRPr="00605672" w:rsidRDefault="000F184F" w:rsidP="000F184F">
      <w:pPr>
        <w:autoSpaceDE w:val="0"/>
        <w:autoSpaceDN w:val="0"/>
        <w:adjustRightInd w:val="0"/>
      </w:pPr>
      <w:r w:rsidRPr="00605672">
        <w:t xml:space="preserve">Kenneth H. Wathne is Professor of Marketing, University of Stavanger Business School, Elise Ottesen-Jensens hus, 4036 Stavanger, Norway, and </w:t>
      </w:r>
      <w:r w:rsidRPr="00605672">
        <w:rPr>
          <w:lang w:eastAsia="zh-CN"/>
        </w:rPr>
        <w:t>Adjunct Professor, BI Norwegian Business School</w:t>
      </w:r>
      <w:r w:rsidRPr="00605672">
        <w:t xml:space="preserve">. Phone +47 97483315, fax +47 51833750, email: kenneth.h.wathne@uis.no. Jan B. Heide is Irwin Maier Chair in Marketing, School of Business, University of Wisconsin-Madison, 975 University Avenue, Madison, WI 53706-1323, and Professorial Fellow, Department of Marketing and Management, University of Melbourne. He is also a Senior Research Associate, Judge Business School, University of Cambridge. Phone (608) 262-5224, fax (608) 262-0394, e-mail: jheide@bus.wisc.edu. Erik A. Mooi is senior lecturer in Marketing, University of Melbourne, Parkville, VIC, 3010, Australia. Phone +6138344 1273, fax: +61 393494293, email: erik.mooi@unimelb.edu.au. </w:t>
      </w:r>
      <w:r w:rsidRPr="00605672">
        <w:rPr>
          <w:lang w:eastAsia="nb-NO"/>
        </w:rPr>
        <w:t xml:space="preserve">Alok Kumar is Associate Professor of Marketing, College of Business, University of Nebraska–Lincoln, Lincoln, NE </w:t>
      </w:r>
      <w:r w:rsidRPr="00605672">
        <w:rPr>
          <w:shd w:val="clear" w:color="auto" w:fill="FFFFFF"/>
        </w:rPr>
        <w:t>68588-0492</w:t>
      </w:r>
      <w:r w:rsidRPr="00605672">
        <w:rPr>
          <w:lang w:eastAsia="nb-NO"/>
        </w:rPr>
        <w:t xml:space="preserve">. Phone (402) 472-3378, fax (402) 472-9777, email: </w:t>
      </w:r>
      <w:hyperlink r:id="rId8" w:history="1">
        <w:r w:rsidRPr="00605672">
          <w:rPr>
            <w:rStyle w:val="Hyperlink"/>
            <w:color w:val="auto"/>
            <w:u w:val="none"/>
            <w:lang w:eastAsia="nb-NO"/>
          </w:rPr>
          <w:t>akumar5@unl.edu</w:t>
        </w:r>
      </w:hyperlink>
      <w:r w:rsidRPr="00605672">
        <w:rPr>
          <w:lang w:eastAsia="nb-NO"/>
        </w:rPr>
        <w:t xml:space="preserve">. </w:t>
      </w:r>
      <w:r w:rsidR="00605672">
        <w:rPr>
          <w:lang w:eastAsia="nb-NO"/>
        </w:rPr>
        <w:t xml:space="preserve">This article </w:t>
      </w:r>
      <w:r w:rsidRPr="00605672">
        <w:rPr>
          <w:lang w:eastAsia="nb-NO"/>
        </w:rPr>
        <w:t>has benefited from comments by seminar participants at the University of Cardiff, University of Illinois, University of Houston, University of Kentucky, University of Leeds, McMaster University, University of Melbourne, University of Nebraska-Lincoln, University of North Carolina-Chapel Hill, Texas A&amp;M University, and Tulane University.</w:t>
      </w:r>
      <w:r w:rsidR="00605672">
        <w:rPr>
          <w:lang w:eastAsia="nb-NO"/>
        </w:rPr>
        <w:t xml:space="preserve"> </w:t>
      </w:r>
      <w:r w:rsidRPr="00605672">
        <w:t>The authors contributed equally.</w:t>
      </w:r>
    </w:p>
    <w:p w14:paraId="65EC6760" w14:textId="77777777" w:rsidR="000F184F" w:rsidRPr="00605672" w:rsidRDefault="000F184F" w:rsidP="000F184F">
      <w:pPr>
        <w:autoSpaceDE w:val="0"/>
        <w:autoSpaceDN w:val="0"/>
        <w:adjustRightInd w:val="0"/>
      </w:pPr>
    </w:p>
    <w:p w14:paraId="3946AAB6" w14:textId="77777777" w:rsidR="000F184F" w:rsidRPr="00605672" w:rsidRDefault="000F184F" w:rsidP="000F184F">
      <w:pPr>
        <w:autoSpaceDE w:val="0"/>
        <w:autoSpaceDN w:val="0"/>
        <w:adjustRightInd w:val="0"/>
      </w:pPr>
      <w:r w:rsidRPr="00605672">
        <w:t>*Corresponding author</w:t>
      </w:r>
    </w:p>
    <w:p w14:paraId="670FE3FA" w14:textId="77777777" w:rsidR="000F184F" w:rsidRPr="00605672" w:rsidRDefault="000F184F" w:rsidP="000F184F">
      <w:pPr>
        <w:autoSpaceDE w:val="0"/>
        <w:autoSpaceDN w:val="0"/>
        <w:adjustRightInd w:val="0"/>
      </w:pPr>
    </w:p>
    <w:p w14:paraId="67A9E22F" w14:textId="77777777" w:rsidR="000F184F" w:rsidRPr="00605672" w:rsidRDefault="000F184F" w:rsidP="000F184F">
      <w:pPr>
        <w:autoSpaceDE w:val="0"/>
        <w:autoSpaceDN w:val="0"/>
        <w:adjustRightInd w:val="0"/>
      </w:pPr>
    </w:p>
    <w:p w14:paraId="7B570248" w14:textId="3902275D" w:rsidR="000F184F" w:rsidRPr="00605672" w:rsidRDefault="000F184F" w:rsidP="000F184F">
      <w:pPr>
        <w:rPr>
          <w:b/>
        </w:rPr>
      </w:pPr>
      <w:r w:rsidRPr="00605672">
        <w:rPr>
          <w:b/>
        </w:rPr>
        <w:br w:type="page"/>
      </w:r>
    </w:p>
    <w:p w14:paraId="53FF82DC" w14:textId="77777777" w:rsidR="00E278CC" w:rsidRPr="00605672" w:rsidRDefault="00E278CC" w:rsidP="00E278CC">
      <w:pPr>
        <w:jc w:val="center"/>
        <w:rPr>
          <w:b/>
        </w:rPr>
      </w:pPr>
      <w:r w:rsidRPr="00605672">
        <w:rPr>
          <w:b/>
        </w:rPr>
        <w:lastRenderedPageBreak/>
        <w:t xml:space="preserve">Relationship Governance Dynamics: </w:t>
      </w:r>
      <w:r w:rsidRPr="00605672">
        <w:rPr>
          <w:b/>
        </w:rPr>
        <w:br/>
        <w:t xml:space="preserve">The Roles of Partner Selection Efforts and Mutual Investments </w:t>
      </w:r>
    </w:p>
    <w:p w14:paraId="0C4C11C2" w14:textId="77777777" w:rsidR="00E278CC" w:rsidRPr="00605672" w:rsidRDefault="00E278CC" w:rsidP="00E278CC">
      <w:pPr>
        <w:rPr>
          <w:b/>
        </w:rPr>
      </w:pPr>
    </w:p>
    <w:p w14:paraId="5D51FF2A" w14:textId="77777777" w:rsidR="00E278CC" w:rsidRPr="00605672" w:rsidRDefault="00E278CC" w:rsidP="00E278CC">
      <w:pPr>
        <w:pStyle w:val="Heading1"/>
        <w:rPr>
          <w:caps w:val="0"/>
        </w:rPr>
      </w:pPr>
    </w:p>
    <w:p w14:paraId="2DB6D73C" w14:textId="77777777" w:rsidR="00E278CC" w:rsidRPr="00605672" w:rsidRDefault="00E278CC" w:rsidP="00E278CC">
      <w:pPr>
        <w:pStyle w:val="Heading1"/>
        <w:rPr>
          <w:caps w:val="0"/>
        </w:rPr>
      </w:pPr>
      <w:r w:rsidRPr="00605672">
        <w:rPr>
          <w:caps w:val="0"/>
        </w:rPr>
        <w:t>ABSTRACT</w:t>
      </w:r>
    </w:p>
    <w:p w14:paraId="5A6BDEA1" w14:textId="77777777" w:rsidR="00E278CC" w:rsidRPr="00605672" w:rsidRDefault="00E278CC" w:rsidP="00E278CC">
      <w:pPr>
        <w:spacing w:line="480" w:lineRule="auto"/>
        <w:rPr>
          <w:lang w:eastAsia="en-AU"/>
        </w:rPr>
      </w:pPr>
    </w:p>
    <w:p w14:paraId="7748AB6A" w14:textId="35656795" w:rsidR="00E278CC" w:rsidRPr="00605672" w:rsidRDefault="00605672" w:rsidP="00E278CC">
      <w:pPr>
        <w:spacing w:line="480" w:lineRule="auto"/>
      </w:pPr>
      <w:r>
        <w:t xml:space="preserve">To explicate </w:t>
      </w:r>
      <w:r w:rsidR="00E278CC" w:rsidRPr="00605672">
        <w:t>interfirm governance in the context of supplier</w:t>
      </w:r>
      <w:r>
        <w:t>–</w:t>
      </w:r>
      <w:r w:rsidR="00E278CC" w:rsidRPr="00605672">
        <w:t>reseller relationships</w:t>
      </w:r>
      <w:r>
        <w:t xml:space="preserve">, this article reports on </w:t>
      </w:r>
      <w:r w:rsidR="00E278CC" w:rsidRPr="00605672">
        <w:t xml:space="preserve">a longitudinal study </w:t>
      </w:r>
      <w:r>
        <w:t xml:space="preserve">conducted to </w:t>
      </w:r>
      <w:r w:rsidR="00E278CC" w:rsidRPr="00605672">
        <w:t xml:space="preserve">examine the roles </w:t>
      </w:r>
      <w:r>
        <w:t xml:space="preserve">of </w:t>
      </w:r>
      <w:r w:rsidR="00E278CC" w:rsidRPr="00605672">
        <w:t xml:space="preserve">supplier selection efforts and mutual specific investments, with respect to motivating a supplier to make incremental investments, </w:t>
      </w:r>
      <w:r>
        <w:t xml:space="preserve">as well as </w:t>
      </w:r>
      <w:r w:rsidR="00E278CC" w:rsidRPr="00605672">
        <w:t xml:space="preserve">safeguarding the investments from supplier ex post transaction costs. </w:t>
      </w:r>
      <w:r>
        <w:t xml:space="preserve">The authors </w:t>
      </w:r>
      <w:r w:rsidR="00E278CC" w:rsidRPr="00605672">
        <w:t xml:space="preserve">also examine the joint effects of selection efforts and mutual investments on supplier ex post transaction costs. From a practical standpoint, </w:t>
      </w:r>
      <w:r>
        <w:t xml:space="preserve">the </w:t>
      </w:r>
      <w:r w:rsidR="00E278CC" w:rsidRPr="00605672">
        <w:t xml:space="preserve">findings suggest </w:t>
      </w:r>
      <w:r>
        <w:t xml:space="preserve">new </w:t>
      </w:r>
      <w:r w:rsidR="00E278CC" w:rsidRPr="00605672">
        <w:t xml:space="preserve">guidelines for channel strategy. Theoretically, </w:t>
      </w:r>
      <w:r>
        <w:t xml:space="preserve">they </w:t>
      </w:r>
      <w:r w:rsidR="00E278CC" w:rsidRPr="00605672">
        <w:t>provide new insights into relationship dynamics</w:t>
      </w:r>
      <w:r>
        <w:t xml:space="preserve"> and offer </w:t>
      </w:r>
      <w:r w:rsidR="00E278CC" w:rsidRPr="00605672">
        <w:t xml:space="preserve">evidence </w:t>
      </w:r>
      <w:r>
        <w:t xml:space="preserve">about </w:t>
      </w:r>
      <w:r w:rsidR="00E278CC" w:rsidRPr="00605672">
        <w:t>the effects of a firm’s governance choices over time.</w:t>
      </w:r>
    </w:p>
    <w:p w14:paraId="39E4F50C" w14:textId="77777777" w:rsidR="00E278CC" w:rsidRPr="00605672" w:rsidRDefault="00E278CC" w:rsidP="00E278CC"/>
    <w:p w14:paraId="1F99AACC" w14:textId="4F67B543" w:rsidR="00E278CC" w:rsidRPr="00605672" w:rsidRDefault="00E278CC" w:rsidP="00E278CC">
      <w:pPr>
        <w:rPr>
          <w:caps/>
        </w:rPr>
      </w:pPr>
      <w:r w:rsidRPr="00605672">
        <w:rPr>
          <w:b/>
        </w:rPr>
        <w:t>Keywords:</w:t>
      </w:r>
      <w:r w:rsidRPr="00605672">
        <w:t xml:space="preserve"> </w:t>
      </w:r>
      <w:r w:rsidR="00605672">
        <w:t>c</w:t>
      </w:r>
      <w:r w:rsidRPr="00605672">
        <w:t>hannel relationships, governance, transaction cost economics, selection efforts, mutual investments</w:t>
      </w:r>
      <w:r w:rsidRPr="00605672">
        <w:rPr>
          <w:caps/>
        </w:rPr>
        <w:br w:type="page"/>
      </w:r>
    </w:p>
    <w:p w14:paraId="012A55AC" w14:textId="4CC8BD07" w:rsidR="00E278CC" w:rsidRPr="002F57C2" w:rsidRDefault="009E0ABE" w:rsidP="00E278CC">
      <w:pPr>
        <w:spacing w:line="480" w:lineRule="auto"/>
      </w:pPr>
      <w:r w:rsidRPr="00605672">
        <w:rPr>
          <w:caps/>
        </w:rPr>
        <w:lastRenderedPageBreak/>
        <w:tab/>
      </w:r>
      <w:r w:rsidR="00E278CC" w:rsidRPr="00605672">
        <w:rPr>
          <w:caps/>
        </w:rPr>
        <w:t>C</w:t>
      </w:r>
      <w:r w:rsidR="00E278CC" w:rsidRPr="00605672">
        <w:t>hannel relationships are cornerstone</w:t>
      </w:r>
      <w:r w:rsidRPr="00605672">
        <w:t>s</w:t>
      </w:r>
      <w:r w:rsidR="00E278CC" w:rsidRPr="00605672">
        <w:t xml:space="preserve"> of firm</w:t>
      </w:r>
      <w:r w:rsidR="00605672">
        <w:t>s</w:t>
      </w:r>
      <w:r w:rsidR="00E278CC" w:rsidRPr="00605672">
        <w:t>’ marketing strateg</w:t>
      </w:r>
      <w:r w:rsidR="00605672">
        <w:t>ies</w:t>
      </w:r>
      <w:r w:rsidR="00E278CC" w:rsidRPr="00605672">
        <w:t xml:space="preserve"> (Anderson and Coughlan 2002; Ghosh and John 2012). </w:t>
      </w:r>
      <w:r w:rsidR="00605672">
        <w:t xml:space="preserve">However, </w:t>
      </w:r>
      <w:r w:rsidR="00E278CC" w:rsidRPr="00605672">
        <w:t xml:space="preserve">productive relationships between suppliers and resellers </w:t>
      </w:r>
      <w:r w:rsidR="00605672">
        <w:t xml:space="preserve">do not simply </w:t>
      </w:r>
      <w:r w:rsidR="00E278CC" w:rsidRPr="00605672">
        <w:t xml:space="preserve">emerge on their own. Rather, they </w:t>
      </w:r>
      <w:r w:rsidR="00605672">
        <w:t xml:space="preserve">result </w:t>
      </w:r>
      <w:r w:rsidR="00E278CC" w:rsidRPr="00605672">
        <w:t xml:space="preserve">from relationship governance arrangements </w:t>
      </w:r>
      <w:r w:rsidR="00605672">
        <w:t xml:space="preserve">that </w:t>
      </w:r>
      <w:r w:rsidR="00E278CC" w:rsidRPr="00605672">
        <w:t>promote value creation and minimize transaction costs (e.g., Geyskens, Steenkamp, and Kumar 2006;</w:t>
      </w:r>
      <w:r w:rsidR="00257FCD" w:rsidRPr="00605672">
        <w:t xml:space="preserve"> </w:t>
      </w:r>
      <w:r w:rsidR="00E278CC" w:rsidRPr="00605672">
        <w:t>Kashyap, Antia, and Frazier 2012).</w:t>
      </w:r>
      <w:r w:rsidR="00605672">
        <w:t xml:space="preserve"> </w:t>
      </w:r>
      <w:r w:rsidR="00E278CC" w:rsidRPr="002F57C2">
        <w:t xml:space="preserve">Williamson (2010), building on early institutional economics </w:t>
      </w:r>
      <w:r w:rsidR="00605672" w:rsidRPr="002F57C2">
        <w:t xml:space="preserve">research by </w:t>
      </w:r>
      <w:r w:rsidR="00E278CC" w:rsidRPr="002F57C2">
        <w:t xml:space="preserve">Commons (1934), defines governance as “the means by which to infuse order, thereby to mitigate conflict, and realize mutual gain” (p. 674). As evidenced by a large and growing body of research, this definition comprises some different phenomena, including specific governance </w:t>
      </w:r>
      <w:r w:rsidR="00AA5B5D" w:rsidRPr="00727D37">
        <w:t>actions</w:t>
      </w:r>
      <w:r w:rsidR="00E278CC" w:rsidRPr="002F57C2">
        <w:t xml:space="preserve"> or mechanisms that can be purposely deployed (Anderson and Weitz 1992)</w:t>
      </w:r>
      <w:r w:rsidR="00605672" w:rsidRPr="002F57C2">
        <w:t xml:space="preserve"> but also </w:t>
      </w:r>
      <w:r w:rsidR="00E278CC" w:rsidRPr="002F57C2">
        <w:t xml:space="preserve">governance </w:t>
      </w:r>
      <w:r w:rsidR="00AA5B5D" w:rsidRPr="00727D37">
        <w:t>structures</w:t>
      </w:r>
      <w:r w:rsidR="00E278CC" w:rsidRPr="002F57C2">
        <w:t xml:space="preserve"> </w:t>
      </w:r>
      <w:r w:rsidR="00605672">
        <w:t xml:space="preserve">that </w:t>
      </w:r>
      <w:r w:rsidR="00E278CC" w:rsidRPr="002F57C2">
        <w:t xml:space="preserve">emerge over time in a relationship (Heide and John 1988). </w:t>
      </w:r>
      <w:r w:rsidR="00605672">
        <w:t>For the current study</w:t>
      </w:r>
      <w:r w:rsidR="00E278CC" w:rsidRPr="002F57C2">
        <w:t xml:space="preserve">, we capture the former </w:t>
      </w:r>
      <w:r w:rsidR="00605672">
        <w:t xml:space="preserve">as </w:t>
      </w:r>
      <w:r w:rsidR="00E278CC" w:rsidRPr="002F57C2">
        <w:t xml:space="preserve">a supplier’s initial efforts to </w:t>
      </w:r>
      <w:r w:rsidR="00AA5B5D" w:rsidRPr="00727D37">
        <w:t>select</w:t>
      </w:r>
      <w:r w:rsidR="00E278CC" w:rsidRPr="002F57C2">
        <w:t xml:space="preserve"> a reseller with particular characteristics</w:t>
      </w:r>
      <w:r w:rsidR="008869D0" w:rsidRPr="002F57C2">
        <w:t>,</w:t>
      </w:r>
      <w:r w:rsidR="00E278CC" w:rsidRPr="002F57C2">
        <w:t xml:space="preserve"> </w:t>
      </w:r>
      <w:r w:rsidR="00605672">
        <w:t xml:space="preserve">using </w:t>
      </w:r>
      <w:r w:rsidR="000133D3" w:rsidRPr="002F57C2">
        <w:t xml:space="preserve">purposeful </w:t>
      </w:r>
      <w:r w:rsidR="00E278CC" w:rsidRPr="002F57C2">
        <w:t>qualification efforts (</w:t>
      </w:r>
      <w:r w:rsidR="00AA5B5D" w:rsidRPr="00727D37">
        <w:rPr>
          <w:rFonts w:eastAsia="Times New Roman"/>
          <w:color w:val="000000"/>
        </w:rPr>
        <w:t xml:space="preserve">Antia, Mani, </w:t>
      </w:r>
      <w:r w:rsidR="00605672">
        <w:rPr>
          <w:rFonts w:eastAsia="Times New Roman"/>
          <w:color w:val="000000"/>
        </w:rPr>
        <w:t xml:space="preserve">and </w:t>
      </w:r>
      <w:r w:rsidR="00AA5B5D" w:rsidRPr="00727D37">
        <w:rPr>
          <w:rFonts w:eastAsia="Times New Roman"/>
          <w:color w:val="000000"/>
        </w:rPr>
        <w:t xml:space="preserve">Wathne 2017; </w:t>
      </w:r>
      <w:r w:rsidR="00E278CC" w:rsidRPr="002F57C2">
        <w:t xml:space="preserve">Bergen, Dutta, and Walker 1992). </w:t>
      </w:r>
      <w:r w:rsidR="00605672">
        <w:t xml:space="preserve">We assess the </w:t>
      </w:r>
      <w:r w:rsidR="00E278CC" w:rsidRPr="002F57C2">
        <w:t xml:space="preserve">latter </w:t>
      </w:r>
      <w:r w:rsidR="00605672">
        <w:t xml:space="preserve">as </w:t>
      </w:r>
      <w:r w:rsidR="00E278CC" w:rsidRPr="002F57C2">
        <w:t>the parties’ mutual</w:t>
      </w:r>
      <w:r w:rsidR="00E278CC" w:rsidRPr="002F57C2">
        <w:rPr>
          <w:i/>
        </w:rPr>
        <w:t xml:space="preserve"> </w:t>
      </w:r>
      <w:r w:rsidR="00AA5B5D" w:rsidRPr="00727D37">
        <w:t>transaction-specific investments</w:t>
      </w:r>
      <w:r w:rsidR="00E278CC" w:rsidRPr="002F57C2">
        <w:t xml:space="preserve"> (Williamson 1983). A</w:t>
      </w:r>
      <w:r w:rsidR="00605672">
        <w:t xml:space="preserve">lthough </w:t>
      </w:r>
      <w:r w:rsidR="00E278CC" w:rsidRPr="002F57C2">
        <w:t xml:space="preserve">selection </w:t>
      </w:r>
      <w:r w:rsidR="00FA7FD4" w:rsidRPr="002F57C2">
        <w:t xml:space="preserve">efforts </w:t>
      </w:r>
      <w:r w:rsidR="00E278CC" w:rsidRPr="002F57C2">
        <w:t xml:space="preserve">and mutual investments work in different ways and </w:t>
      </w:r>
      <w:r w:rsidR="00605672">
        <w:t xml:space="preserve">reflect </w:t>
      </w:r>
      <w:r w:rsidR="00E278CC" w:rsidRPr="002F57C2">
        <w:t xml:space="preserve">different sources of transaction costs, they both </w:t>
      </w:r>
      <w:r w:rsidR="00605672">
        <w:t xml:space="preserve">can create </w:t>
      </w:r>
      <w:r w:rsidR="00E278CC" w:rsidRPr="002F57C2">
        <w:t>“order</w:t>
      </w:r>
      <w:r w:rsidR="00605672">
        <w:t>,</w:t>
      </w:r>
      <w:r w:rsidR="00E278CC" w:rsidRPr="002F57C2">
        <w:t>”</w:t>
      </w:r>
      <w:r w:rsidR="00605672">
        <w:t xml:space="preserve"> in the sense of </w:t>
      </w:r>
      <w:r w:rsidR="00E278CC" w:rsidRPr="002F57C2">
        <w:t xml:space="preserve">Williamson’s (2010) definition, and thus contribute to value creation in a distribution channel. </w:t>
      </w:r>
    </w:p>
    <w:p w14:paraId="50256154" w14:textId="436901B9" w:rsidR="00E278CC" w:rsidRPr="00605672" w:rsidRDefault="00E278CC" w:rsidP="00E278CC">
      <w:pPr>
        <w:spacing w:line="480" w:lineRule="auto"/>
      </w:pPr>
      <w:r w:rsidRPr="00605672">
        <w:tab/>
      </w:r>
      <w:r w:rsidR="005736BB">
        <w:t xml:space="preserve">We take the </w:t>
      </w:r>
      <w:r w:rsidRPr="00605672">
        <w:t xml:space="preserve">supplier’s perspective and examine </w:t>
      </w:r>
      <w:r w:rsidR="005736BB">
        <w:t xml:space="preserve">two outcomes of its </w:t>
      </w:r>
      <w:r w:rsidRPr="00605672">
        <w:t>governance choices</w:t>
      </w:r>
      <w:r w:rsidR="005736BB">
        <w:t>.</w:t>
      </w:r>
      <w:r w:rsidRPr="00605672">
        <w:t xml:space="preserve"> First, we posit that </w:t>
      </w:r>
      <w:r w:rsidR="005736BB">
        <w:t xml:space="preserve">its </w:t>
      </w:r>
      <w:r w:rsidRPr="00605672">
        <w:t xml:space="preserve">reliance on selection efforts and mutual investments motivate </w:t>
      </w:r>
      <w:r w:rsidR="00AA5B5D" w:rsidRPr="00727D37">
        <w:t>incremental</w:t>
      </w:r>
      <w:r w:rsidRPr="00605672">
        <w:t xml:space="preserve"> investments by the supplier in the reseller relationship. </w:t>
      </w:r>
      <w:r w:rsidR="005736BB">
        <w:t>D</w:t>
      </w:r>
      <w:r w:rsidRPr="00605672">
        <w:t>espite the importan</w:t>
      </w:r>
      <w:r w:rsidR="00D93A48" w:rsidRPr="00605672">
        <w:t>t</w:t>
      </w:r>
      <w:r w:rsidRPr="00605672">
        <w:t xml:space="preserve"> role </w:t>
      </w:r>
      <w:r w:rsidR="005736BB">
        <w:t xml:space="preserve">of </w:t>
      </w:r>
      <w:r w:rsidRPr="00605672">
        <w:t xml:space="preserve">specific investments </w:t>
      </w:r>
      <w:r w:rsidR="005736BB">
        <w:t xml:space="preserve">for </w:t>
      </w:r>
      <w:r w:rsidRPr="00605672">
        <w:t>realizing particular value propositions and achieving competitive advantage</w:t>
      </w:r>
      <w:r w:rsidR="005736BB">
        <w:t>s</w:t>
      </w:r>
      <w:r w:rsidRPr="00605672">
        <w:t xml:space="preserve"> (Ghosh and John 1999), our understanding of the</w:t>
      </w:r>
      <w:r w:rsidR="008213E1" w:rsidRPr="00605672">
        <w:t>m</w:t>
      </w:r>
      <w:r w:rsidRPr="00605672">
        <w:t xml:space="preserve"> remains incomplete. Perhaps most </w:t>
      </w:r>
      <w:r w:rsidR="005736BB">
        <w:t>notably</w:t>
      </w:r>
      <w:r w:rsidRPr="00605672">
        <w:t xml:space="preserve">, </w:t>
      </w:r>
      <w:r w:rsidR="005736BB">
        <w:t xml:space="preserve">prior </w:t>
      </w:r>
      <w:r w:rsidRPr="00605672">
        <w:t xml:space="preserve">governance research </w:t>
      </w:r>
      <w:r w:rsidR="005736BB">
        <w:t xml:space="preserve">tends to </w:t>
      </w:r>
      <w:r w:rsidRPr="00605672">
        <w:t>capture specific investments cross-sectionally</w:t>
      </w:r>
      <w:r w:rsidR="005736BB">
        <w:t>,</w:t>
      </w:r>
      <w:r w:rsidRPr="00605672">
        <w:t xml:space="preserve"> as an aggregate </w:t>
      </w:r>
      <w:r w:rsidRPr="00605672">
        <w:lastRenderedPageBreak/>
        <w:t xml:space="preserve">stock of assets, without accounting for the manner in which they accumulate. </w:t>
      </w:r>
      <w:r w:rsidR="005736BB">
        <w:t xml:space="preserve">By </w:t>
      </w:r>
      <w:r w:rsidRPr="00605672">
        <w:t>focus</w:t>
      </w:r>
      <w:r w:rsidR="005736BB">
        <w:t>ing</w:t>
      </w:r>
      <w:r w:rsidRPr="00605672">
        <w:t xml:space="preserve"> on </w:t>
      </w:r>
      <w:r w:rsidR="00AA5B5D" w:rsidRPr="00727D37">
        <w:t>incremental</w:t>
      </w:r>
      <w:r w:rsidRPr="00605672">
        <w:t xml:space="preserve"> investments, </w:t>
      </w:r>
      <w:r w:rsidR="005736BB">
        <w:t xml:space="preserve">we address </w:t>
      </w:r>
      <w:r w:rsidRPr="00605672">
        <w:t xml:space="preserve">how </w:t>
      </w:r>
      <w:r w:rsidR="005736BB">
        <w:t>the</w:t>
      </w:r>
      <w:r w:rsidRPr="00605672">
        <w:t xml:space="preserve"> supplier’s willingness to augment </w:t>
      </w:r>
      <w:r w:rsidR="005736BB">
        <w:t xml:space="preserve">its </w:t>
      </w:r>
      <w:r w:rsidRPr="00605672">
        <w:t>existing stock of assets follows from its prior selection efforts and preexisting pattern</w:t>
      </w:r>
      <w:r w:rsidR="005736BB">
        <w:t>s</w:t>
      </w:r>
      <w:r w:rsidRPr="00605672">
        <w:t xml:space="preserve"> of specific </w:t>
      </w:r>
      <w:r w:rsidR="005736BB">
        <w:t xml:space="preserve">relationship </w:t>
      </w:r>
      <w:r w:rsidRPr="00605672">
        <w:t xml:space="preserve">investments. </w:t>
      </w:r>
    </w:p>
    <w:p w14:paraId="4513B60C" w14:textId="76B38CAD" w:rsidR="00E278CC" w:rsidRPr="00605672" w:rsidRDefault="00E278CC" w:rsidP="00E278CC">
      <w:pPr>
        <w:spacing w:line="480" w:lineRule="auto"/>
        <w:ind w:firstLine="720"/>
      </w:pPr>
      <w:r w:rsidRPr="00605672">
        <w:t xml:space="preserve">Second, we explore </w:t>
      </w:r>
      <w:r w:rsidR="005736BB">
        <w:t xml:space="preserve">how </w:t>
      </w:r>
      <w:r w:rsidRPr="00605672">
        <w:t xml:space="preserve">partner selection </w:t>
      </w:r>
      <w:r w:rsidR="008869D0" w:rsidRPr="00605672">
        <w:t xml:space="preserve">efforts </w:t>
      </w:r>
      <w:r w:rsidRPr="00605672">
        <w:t xml:space="preserve">and mutual investments </w:t>
      </w:r>
      <w:r w:rsidR="005736BB">
        <w:t xml:space="preserve">might </w:t>
      </w:r>
      <w:r w:rsidR="00AA5B5D" w:rsidRPr="00727D37">
        <w:t>safeguard</w:t>
      </w:r>
      <w:r w:rsidRPr="00605672">
        <w:t xml:space="preserve"> the supplier’s incremental investments over time from efficiency losses </w:t>
      </w:r>
      <w:r w:rsidR="005736BB">
        <w:t xml:space="preserve">due to </w:t>
      </w:r>
      <w:r w:rsidRPr="00605672">
        <w:t xml:space="preserve">supplier ex post transaction costs. Specific investments have significant value-creation potential (Ghosh and John 1999), but they cannot be easily redeployed, </w:t>
      </w:r>
      <w:r w:rsidR="005736BB">
        <w:t xml:space="preserve">so </w:t>
      </w:r>
      <w:r w:rsidRPr="00605672">
        <w:t xml:space="preserve">they also involve considerable risk (Williamson 1985). </w:t>
      </w:r>
      <w:r w:rsidR="005736BB">
        <w:t xml:space="preserve">This </w:t>
      </w:r>
      <w:r w:rsidRPr="00605672">
        <w:t>general safeguarding problem is well</w:t>
      </w:r>
      <w:r w:rsidR="005736BB">
        <w:t xml:space="preserve"> </w:t>
      </w:r>
      <w:r w:rsidRPr="00605672">
        <w:t xml:space="preserve">documented (e.g., Heide and John 1988), </w:t>
      </w:r>
      <w:r w:rsidR="005736BB">
        <w:t xml:space="preserve">but it is </w:t>
      </w:r>
      <w:r w:rsidRPr="00605672">
        <w:t xml:space="preserve">less clear whether firms’ governance choices, once made, </w:t>
      </w:r>
      <w:r w:rsidR="005736BB">
        <w:t xml:space="preserve">exert influences </w:t>
      </w:r>
      <w:r w:rsidRPr="00605672">
        <w:t xml:space="preserve">over time. For </w:t>
      </w:r>
      <w:r w:rsidR="005736BB">
        <w:t>example</w:t>
      </w:r>
      <w:r w:rsidRPr="00605672">
        <w:t xml:space="preserve">, do the benefits of selection efforts, </w:t>
      </w:r>
      <w:r w:rsidR="005736BB">
        <w:t xml:space="preserve">applied </w:t>
      </w:r>
      <w:r w:rsidRPr="00605672">
        <w:t xml:space="preserve">at the outset of a relationship, </w:t>
      </w:r>
      <w:r w:rsidR="005736BB">
        <w:t xml:space="preserve">remain </w:t>
      </w:r>
      <w:r w:rsidRPr="00605672">
        <w:t xml:space="preserve">manifest in </w:t>
      </w:r>
      <w:r w:rsidR="005736BB">
        <w:t xml:space="preserve">later </w:t>
      </w:r>
      <w:r w:rsidRPr="00605672">
        <w:t>period</w:t>
      </w:r>
      <w:r w:rsidR="005736BB">
        <w:t>s</w:t>
      </w:r>
      <w:r w:rsidRPr="00605672">
        <w:t xml:space="preserve">? </w:t>
      </w:r>
      <w:r w:rsidR="005736BB">
        <w:t>Do</w:t>
      </w:r>
      <w:r w:rsidRPr="00605672">
        <w:t xml:space="preserve"> mutual investments, once committed, have ongoing governance </w:t>
      </w:r>
      <w:r w:rsidR="005736BB">
        <w:t>effects</w:t>
      </w:r>
      <w:r w:rsidRPr="00605672">
        <w:t xml:space="preserve">? With some </w:t>
      </w:r>
      <w:r w:rsidR="005736BB">
        <w:t xml:space="preserve">notable </w:t>
      </w:r>
      <w:r w:rsidRPr="00605672">
        <w:t>exceptions (e.g., Klein 1996)</w:t>
      </w:r>
      <w:r w:rsidR="005736BB">
        <w:t>,</w:t>
      </w:r>
      <w:r w:rsidRPr="00605672">
        <w:t xml:space="preserve"> past research has paid little attention to question</w:t>
      </w:r>
      <w:r w:rsidR="008213E1" w:rsidRPr="00605672">
        <w:t>s</w:t>
      </w:r>
      <w:r w:rsidRPr="00605672">
        <w:t xml:space="preserve"> of governance dynamics. </w:t>
      </w:r>
      <w:r w:rsidR="005736BB">
        <w:t>An implicit assumption, rarely tested empirically, indicates</w:t>
      </w:r>
      <w:r w:rsidRPr="00605672">
        <w:t xml:space="preserve"> that a given governance arrangement, once in place, </w:t>
      </w:r>
      <w:r w:rsidR="005736BB">
        <w:t xml:space="preserve">continues to exert </w:t>
      </w:r>
      <w:r w:rsidRPr="00605672">
        <w:t xml:space="preserve">its effect over the course of a relationship. From a practical </w:t>
      </w:r>
      <w:r w:rsidR="005736BB">
        <w:t>perspective</w:t>
      </w:r>
      <w:r w:rsidRPr="00605672">
        <w:t xml:space="preserve">, governance dynamics </w:t>
      </w:r>
      <w:r w:rsidR="005736BB">
        <w:t xml:space="preserve">have </w:t>
      </w:r>
      <w:r w:rsidRPr="00605672">
        <w:t xml:space="preserve">important </w:t>
      </w:r>
      <w:r w:rsidR="005736BB">
        <w:t xml:space="preserve">potential </w:t>
      </w:r>
      <w:r w:rsidRPr="00605672">
        <w:t>implications</w:t>
      </w:r>
      <w:r w:rsidR="005736BB">
        <w:t>:</w:t>
      </w:r>
      <w:r w:rsidRPr="00605672">
        <w:t xml:space="preserve"> Evidence of ongoing effects </w:t>
      </w:r>
      <w:r w:rsidR="005736BB">
        <w:t xml:space="preserve">would suggest the </w:t>
      </w:r>
      <w:r w:rsidRPr="00605672">
        <w:t>arrangement is associated with governance economies</w:t>
      </w:r>
      <w:r w:rsidR="005736BB">
        <w:t xml:space="preserve">, whereas </w:t>
      </w:r>
      <w:r w:rsidRPr="00605672">
        <w:t xml:space="preserve">a lack of such </w:t>
      </w:r>
      <w:r w:rsidR="005736BB">
        <w:t xml:space="preserve">persistent </w:t>
      </w:r>
      <w:r w:rsidRPr="00605672">
        <w:t xml:space="preserve">effects </w:t>
      </w:r>
      <w:r w:rsidR="005736BB">
        <w:t xml:space="preserve">would </w:t>
      </w:r>
      <w:r w:rsidRPr="00605672">
        <w:t xml:space="preserve">suggest that continued reliance on </w:t>
      </w:r>
      <w:r w:rsidR="00D93A48" w:rsidRPr="00605672">
        <w:t>the focal arrangement</w:t>
      </w:r>
      <w:r w:rsidRPr="00605672">
        <w:t xml:space="preserve"> </w:t>
      </w:r>
      <w:r w:rsidR="005736BB">
        <w:t xml:space="preserve">is risky for </w:t>
      </w:r>
      <w:r w:rsidRPr="00605672">
        <w:t>the firm.</w:t>
      </w:r>
    </w:p>
    <w:p w14:paraId="30C89FDB" w14:textId="45F9A2FA" w:rsidR="004A1B6C" w:rsidRDefault="00E278CC" w:rsidP="00727D37">
      <w:pPr>
        <w:spacing w:line="480" w:lineRule="auto"/>
      </w:pPr>
      <w:r w:rsidRPr="00605672">
        <w:tab/>
      </w:r>
      <w:r w:rsidR="005736BB">
        <w:t xml:space="preserve">In turn, we </w:t>
      </w:r>
      <w:r w:rsidRPr="00605672">
        <w:t>seek to make two specific contributions</w:t>
      </w:r>
      <w:r w:rsidR="005736BB">
        <w:t>.</w:t>
      </w:r>
      <w:r w:rsidRPr="00605672">
        <w:t xml:space="preserve"> First, we respond to calls for greater attention to the dynamics of relationship governance (e.g., Jap and Anderson 2003; Rindfleisch et al. 2010). We consider two aspects of dynamism, namely</w:t>
      </w:r>
      <w:r w:rsidR="005736BB">
        <w:t>,</w:t>
      </w:r>
      <w:r w:rsidRPr="00605672">
        <w:t xml:space="preserve"> whether a firm’s prior governance choices </w:t>
      </w:r>
      <w:r w:rsidR="00720CFB">
        <w:t xml:space="preserve">(1) </w:t>
      </w:r>
      <w:r w:rsidRPr="00605672">
        <w:t>motivate incremental investments</w:t>
      </w:r>
      <w:r w:rsidR="005736BB">
        <w:t xml:space="preserve"> and </w:t>
      </w:r>
      <w:r w:rsidR="00720CFB">
        <w:t xml:space="preserve">(2) </w:t>
      </w:r>
      <w:r w:rsidRPr="00605672">
        <w:t>serve as buffer</w:t>
      </w:r>
      <w:r w:rsidR="005736BB">
        <w:t>s</w:t>
      </w:r>
      <w:r w:rsidRPr="00605672">
        <w:t xml:space="preserve"> against supplier ex post </w:t>
      </w:r>
      <w:r w:rsidRPr="00605672">
        <w:lastRenderedPageBreak/>
        <w:t xml:space="preserve">transaction costs. Theoretically, these </w:t>
      </w:r>
      <w:r w:rsidR="005736BB">
        <w:t xml:space="preserve">aspects evoke </w:t>
      </w:r>
      <w:r w:rsidR="008213E1" w:rsidRPr="00605672">
        <w:t xml:space="preserve">two </w:t>
      </w:r>
      <w:r w:rsidRPr="00605672">
        <w:t xml:space="preserve">different questions. The former </w:t>
      </w:r>
      <w:r w:rsidR="005736BB">
        <w:t xml:space="preserve">relates to </w:t>
      </w:r>
      <w:r w:rsidRPr="00605672">
        <w:t xml:space="preserve">how prior governance choices </w:t>
      </w:r>
      <w:r w:rsidR="005736BB">
        <w:t xml:space="preserve">affect </w:t>
      </w:r>
      <w:r w:rsidRPr="00605672">
        <w:t xml:space="preserve">a </w:t>
      </w:r>
      <w:r w:rsidR="00AA5B5D" w:rsidRPr="00727D37">
        <w:t>supplier’s</w:t>
      </w:r>
      <w:r w:rsidRPr="002F57C2">
        <w:t xml:space="preserve"> willingness to invest, whereas the latter </w:t>
      </w:r>
      <w:r w:rsidR="005736BB" w:rsidRPr="002F57C2">
        <w:t xml:space="preserve">questions the ability of </w:t>
      </w:r>
      <w:r w:rsidRPr="002F57C2">
        <w:t xml:space="preserve">the relevant choices to provide a safeguard against </w:t>
      </w:r>
      <w:r w:rsidR="00AA5B5D" w:rsidRPr="00727D37">
        <w:t>reseller</w:t>
      </w:r>
      <w:r w:rsidR="00516E5E" w:rsidRPr="00605672">
        <w:t xml:space="preserve"> actions.</w:t>
      </w:r>
      <w:r w:rsidR="005736BB">
        <w:t xml:space="preserve"> </w:t>
      </w:r>
      <w:r w:rsidRPr="00605672">
        <w:t xml:space="preserve">Second, in practice </w:t>
      </w:r>
      <w:r w:rsidR="005736BB">
        <w:t xml:space="preserve">firms </w:t>
      </w:r>
      <w:r w:rsidRPr="00605672">
        <w:t xml:space="preserve">rely on </w:t>
      </w:r>
      <w:r w:rsidR="005736BB">
        <w:t xml:space="preserve">vast </w:t>
      </w:r>
      <w:r w:rsidRPr="00605672">
        <w:t xml:space="preserve">menus of governance arrangements (Bradach and Eccles 1989; Poppo and Zenger 2002), </w:t>
      </w:r>
      <w:r w:rsidR="005736BB">
        <w:t xml:space="preserve">yet </w:t>
      </w:r>
      <w:r w:rsidRPr="00605672">
        <w:t xml:space="preserve">the specific consequences of </w:t>
      </w:r>
      <w:r w:rsidR="005736BB">
        <w:t xml:space="preserve">such </w:t>
      </w:r>
      <w:r w:rsidRPr="00605672">
        <w:t xml:space="preserve">a “plural governance” approach are not fully understood. Cao and Lumineau (2015) suggest </w:t>
      </w:r>
      <w:r w:rsidR="005736BB">
        <w:t xml:space="preserve">there has been insufficient </w:t>
      </w:r>
      <w:r w:rsidRPr="00605672">
        <w:t xml:space="preserve">attention to </w:t>
      </w:r>
      <w:r w:rsidR="005736BB">
        <w:t xml:space="preserve">the unique properties of </w:t>
      </w:r>
      <w:r w:rsidRPr="00605672">
        <w:t>individual governance variables</w:t>
      </w:r>
      <w:r w:rsidR="005736BB">
        <w:t xml:space="preserve"> and to </w:t>
      </w:r>
      <w:r w:rsidRPr="00605672">
        <w:t xml:space="preserve">how </w:t>
      </w:r>
      <w:r w:rsidR="005736BB">
        <w:t xml:space="preserve">they </w:t>
      </w:r>
      <w:r w:rsidRPr="00605672">
        <w:t xml:space="preserve">interact to </w:t>
      </w:r>
      <w:r w:rsidR="005736BB">
        <w:t>determine</w:t>
      </w:r>
      <w:r w:rsidRPr="00605672">
        <w:t xml:space="preserve"> performance. We </w:t>
      </w:r>
      <w:r w:rsidR="005736BB">
        <w:t xml:space="preserve">therefore </w:t>
      </w:r>
      <w:r w:rsidRPr="00605672">
        <w:t>examine a specific interaction scenario</w:t>
      </w:r>
      <w:r w:rsidR="005736BB">
        <w:t xml:space="preserve"> to determine if </w:t>
      </w:r>
      <w:r w:rsidRPr="00605672">
        <w:t>a firm’s initial selection efforts support the effects of mutual investments</w:t>
      </w:r>
      <w:r w:rsidR="005736BB">
        <w:t xml:space="preserve"> in the relationship</w:t>
      </w:r>
      <w:r w:rsidRPr="00605672">
        <w:t xml:space="preserve">. Theoretically, selection </w:t>
      </w:r>
      <w:r w:rsidR="005736BB">
        <w:t xml:space="preserve">efforts should </w:t>
      </w:r>
      <w:r w:rsidRPr="00605672">
        <w:t>identify the reseller</w:t>
      </w:r>
      <w:r w:rsidR="005736BB">
        <w:t>’s</w:t>
      </w:r>
      <w:r w:rsidRPr="00605672">
        <w:t xml:space="preserve"> </w:t>
      </w:r>
      <w:r w:rsidR="00AA5B5D" w:rsidRPr="00727D37">
        <w:t>abilities</w:t>
      </w:r>
      <w:r w:rsidR="005736BB" w:rsidRPr="002F57C2">
        <w:t xml:space="preserve">, which </w:t>
      </w:r>
      <w:r w:rsidRPr="002F57C2">
        <w:t xml:space="preserve">are necessary for mutual investments to have their predicted </w:t>
      </w:r>
      <w:r w:rsidR="00AA5B5D" w:rsidRPr="00727D37">
        <w:t>motivational</w:t>
      </w:r>
      <w:r w:rsidRPr="00605672">
        <w:t xml:space="preserve"> effect</w:t>
      </w:r>
      <w:r w:rsidR="005736BB">
        <w:t>s</w:t>
      </w:r>
      <w:r w:rsidRPr="00605672">
        <w:t xml:space="preserve"> on transaction costs</w:t>
      </w:r>
      <w:r w:rsidR="005736BB">
        <w:t xml:space="preserve"> (Williamson 1983)</w:t>
      </w:r>
      <w:r w:rsidRPr="00605672">
        <w:t xml:space="preserve">. </w:t>
      </w:r>
      <w:r w:rsidR="005736BB">
        <w:t xml:space="preserve">This idea </w:t>
      </w:r>
      <w:r w:rsidRPr="00605672">
        <w:t xml:space="preserve">suggests that transaction costs originate from the juxtaposition </w:t>
      </w:r>
      <w:r w:rsidR="005736BB">
        <w:t xml:space="preserve">of </w:t>
      </w:r>
      <w:r w:rsidRPr="00605672">
        <w:t xml:space="preserve">partner ability and motivation. Practically, firms’ governance choices explicitly </w:t>
      </w:r>
      <w:r w:rsidR="005736BB">
        <w:t xml:space="preserve">must </w:t>
      </w:r>
      <w:r w:rsidRPr="00605672">
        <w:t xml:space="preserve">address both dimensions. </w:t>
      </w:r>
      <w:r w:rsidR="005736BB">
        <w:t xml:space="preserve">Because </w:t>
      </w:r>
      <w:r w:rsidRPr="00605672">
        <w:t>partner selection efforts support other governance arrangements, the</w:t>
      </w:r>
      <w:r w:rsidR="005736BB">
        <w:t>ir</w:t>
      </w:r>
      <w:r w:rsidRPr="00605672">
        <w:t xml:space="preserve"> governance benefits </w:t>
      </w:r>
      <w:r w:rsidR="005736BB">
        <w:t xml:space="preserve">should </w:t>
      </w:r>
      <w:r w:rsidRPr="00605672">
        <w:t xml:space="preserve">go beyond a simple screening of partners and their abilities </w:t>
      </w:r>
      <w:r w:rsidR="00AA5B5D" w:rsidRPr="00727D37">
        <w:t>per se</w:t>
      </w:r>
      <w:r w:rsidRPr="002F57C2">
        <w:t>.</w:t>
      </w:r>
      <w:r w:rsidRPr="002F57C2">
        <w:rPr>
          <w:rStyle w:val="FootnoteReference"/>
        </w:rPr>
        <w:footnoteReference w:id="1"/>
      </w:r>
    </w:p>
    <w:p w14:paraId="4A81F8D1" w14:textId="177D786A" w:rsidR="00E278CC" w:rsidRPr="00605672" w:rsidRDefault="00E278CC" w:rsidP="00E278CC">
      <w:pPr>
        <w:spacing w:line="480" w:lineRule="auto"/>
      </w:pPr>
      <w:r w:rsidRPr="00605672">
        <w:tab/>
        <w:t>To test our hypotheses, we rely on a two-wave survey of supplier</w:t>
      </w:r>
      <w:r w:rsidR="005736BB">
        <w:t>–</w:t>
      </w:r>
      <w:r w:rsidRPr="00605672">
        <w:t>reseller relationships. Such a research design is rare</w:t>
      </w:r>
      <w:r w:rsidR="005736BB">
        <w:t xml:space="preserve">; </w:t>
      </w:r>
      <w:r w:rsidRPr="00605672">
        <w:t xml:space="preserve">it puts us in a unique position to ascertain the relationships </w:t>
      </w:r>
      <w:r w:rsidR="005736BB">
        <w:t xml:space="preserve">among </w:t>
      </w:r>
      <w:r w:rsidRPr="00605672">
        <w:t xml:space="preserve">our theoretical constructs and shed light on the underlying dynamic processes, including how assets accumulate over time and </w:t>
      </w:r>
      <w:r w:rsidR="005736BB">
        <w:t xml:space="preserve">which </w:t>
      </w:r>
      <w:r w:rsidRPr="00605672">
        <w:t>effects of prior governance arrangements</w:t>
      </w:r>
      <w:r w:rsidR="005736BB">
        <w:t xml:space="preserve"> persist</w:t>
      </w:r>
      <w:r w:rsidRPr="00605672">
        <w:t>. In addition, this design overcome</w:t>
      </w:r>
      <w:r w:rsidR="005736BB">
        <w:t>s</w:t>
      </w:r>
      <w:r w:rsidRPr="00605672">
        <w:t xml:space="preserve"> some common sources of method bias</w:t>
      </w:r>
      <w:r w:rsidR="008213E1" w:rsidRPr="00605672">
        <w:t>.</w:t>
      </w:r>
      <w:r w:rsidRPr="00605672">
        <w:t xml:space="preserve"> </w:t>
      </w:r>
      <w:r w:rsidR="005736BB">
        <w:t xml:space="preserve">In the next section, we </w:t>
      </w:r>
      <w:r w:rsidRPr="00605672">
        <w:t>present our theoretical framework and research hypotheses</w:t>
      </w:r>
      <w:r w:rsidR="005736BB">
        <w:t xml:space="preserve">, before we </w:t>
      </w:r>
      <w:r w:rsidRPr="00605672">
        <w:t xml:space="preserve">describe the research </w:t>
      </w:r>
      <w:r w:rsidRPr="00605672">
        <w:lastRenderedPageBreak/>
        <w:t xml:space="preserve">method, including our longitudinal survey design. Finally, we discuss the implications of our findings, </w:t>
      </w:r>
      <w:r w:rsidR="005736BB">
        <w:t xml:space="preserve">some </w:t>
      </w:r>
      <w:r w:rsidRPr="00605672">
        <w:t xml:space="preserve">study limitations, and topics for </w:t>
      </w:r>
      <w:r w:rsidR="005736BB">
        <w:t xml:space="preserve">further </w:t>
      </w:r>
      <w:r w:rsidRPr="00605672">
        <w:t>research.</w:t>
      </w:r>
    </w:p>
    <w:p w14:paraId="77334EDA" w14:textId="77777777" w:rsidR="00E278CC" w:rsidRPr="00605672" w:rsidRDefault="00E278CC" w:rsidP="00E278CC">
      <w:pPr>
        <w:spacing w:line="480" w:lineRule="auto"/>
        <w:jc w:val="center"/>
        <w:rPr>
          <w:i/>
        </w:rPr>
      </w:pPr>
      <w:r w:rsidRPr="00605672">
        <w:rPr>
          <w:i/>
        </w:rPr>
        <w:t>THEORETICAL FRAMEWORK</w:t>
      </w:r>
    </w:p>
    <w:p w14:paraId="0664F4BD" w14:textId="245E13D3" w:rsidR="00E278CC" w:rsidRPr="00605672" w:rsidRDefault="00E278CC" w:rsidP="00E278CC">
      <w:pPr>
        <w:spacing w:line="480" w:lineRule="auto"/>
        <w:ind w:firstLine="720"/>
      </w:pPr>
      <w:r w:rsidRPr="00605672">
        <w:t>We anchor our discussion in a distribution channel context</w:t>
      </w:r>
      <w:r w:rsidR="00A371C8">
        <w:t>,</w:t>
      </w:r>
      <w:r w:rsidRPr="00605672">
        <w:t xml:space="preserve"> </w:t>
      </w:r>
      <w:r w:rsidR="00A371C8">
        <w:t xml:space="preserve">such that the </w:t>
      </w:r>
      <w:r w:rsidRPr="00605672">
        <w:t xml:space="preserve">supplier markets its products through independent resellers. We consider how </w:t>
      </w:r>
      <w:r w:rsidR="00A371C8">
        <w:t>the</w:t>
      </w:r>
      <w:r w:rsidRPr="00605672">
        <w:t xml:space="preserve"> supplier’s initial reseller selection efforts and the parties’ existing stock of mutual investments </w:t>
      </w:r>
      <w:r w:rsidR="00A371C8">
        <w:t xml:space="preserve">together enable </w:t>
      </w:r>
      <w:r w:rsidRPr="00605672">
        <w:t>the supplier to make incremental investments in the relationship</w:t>
      </w:r>
      <w:r w:rsidR="00A371C8">
        <w:t xml:space="preserve"> with the reseller</w:t>
      </w:r>
      <w:r w:rsidRPr="00605672">
        <w:t>. Drawing on the motivation</w:t>
      </w:r>
      <w:r w:rsidR="00A371C8">
        <w:t>–</w:t>
      </w:r>
      <w:r w:rsidRPr="00605672">
        <w:t xml:space="preserve">ability framework </w:t>
      </w:r>
      <w:r w:rsidR="00AA5B5D" w:rsidRPr="00605672">
        <w:fldChar w:fldCharType="begin">
          <w:fldData xml:space="preserve">PEVuZE5vdGU+PENpdGU+PEF1dGhvcj5HcmV3YWw8L0F1dGhvcj48WWVhcj4yMDAxPC9ZZWFyPjxS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</w:fldData>
        </w:fldChar>
      </w:r>
      <w:r w:rsidRPr="00605672">
        <w:instrText xml:space="preserve"> ADDIN EN.CITE </w:instrText>
      </w:r>
      <w:r w:rsidR="00AA5B5D" w:rsidRPr="00605672">
        <w:fldChar w:fldCharType="begin">
          <w:fldData xml:space="preserve">PEVuZE5vdGU+PENpdGU+PEF1dGhvcj5HcmV3YWw8L0F1dGhvcj48WWVhcj4yMDAxPC9ZZWFyPjxS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</w:fldData>
        </w:fldChar>
      </w:r>
      <w:r w:rsidRPr="00605672">
        <w:instrText xml:space="preserve"> ADDIN EN.CITE.DATA </w:instrText>
      </w:r>
      <w:r w:rsidR="00AA5B5D" w:rsidRPr="00605672">
        <w:fldChar w:fldCharType="end"/>
      </w:r>
      <w:r w:rsidR="00AA5B5D" w:rsidRPr="00605672">
        <w:fldChar w:fldCharType="separate"/>
      </w:r>
      <w:r w:rsidRPr="00605672">
        <w:t>(Grewal, Comer</w:t>
      </w:r>
      <w:r w:rsidR="009454D3">
        <w:t>,</w:t>
      </w:r>
      <w:r w:rsidRPr="00605672">
        <w:t xml:space="preserve"> and Mehta 2001; Merton 1957)</w:t>
      </w:r>
      <w:r w:rsidR="00AA5B5D" w:rsidRPr="00605672">
        <w:fldChar w:fldCharType="end"/>
      </w:r>
      <w:r w:rsidRPr="00605672">
        <w:t xml:space="preserve">, we argue that selection efforts help identify a reseller with appropriate abilities, and the parties’ mutual investments shape </w:t>
      </w:r>
      <w:r w:rsidR="009454D3">
        <w:t>the</w:t>
      </w:r>
      <w:r w:rsidRPr="00605672">
        <w:t xml:space="preserve"> reseller’s motivation to maintain the relationship. Both selection </w:t>
      </w:r>
      <w:r w:rsidR="009454D3">
        <w:t xml:space="preserve">efforts </w:t>
      </w:r>
      <w:r w:rsidRPr="00605672">
        <w:t>and mutual investments</w:t>
      </w:r>
      <w:r w:rsidR="009454D3">
        <w:t xml:space="preserve"> thus may </w:t>
      </w:r>
      <w:r w:rsidRPr="00605672">
        <w:t xml:space="preserve">promote incremental supplier investments. </w:t>
      </w:r>
      <w:r w:rsidR="009454D3">
        <w:t xml:space="preserve">Once in place, </w:t>
      </w:r>
      <w:r w:rsidRPr="00605672">
        <w:t xml:space="preserve">selection </w:t>
      </w:r>
      <w:r w:rsidR="009454D3">
        <w:t xml:space="preserve">efforts </w:t>
      </w:r>
      <w:r w:rsidRPr="00605672">
        <w:t>and mutual investments</w:t>
      </w:r>
      <w:r w:rsidR="009454D3">
        <w:t xml:space="preserve"> also may</w:t>
      </w:r>
      <w:r w:rsidRPr="00605672">
        <w:t xml:space="preserve"> suppress the supplier</w:t>
      </w:r>
      <w:r w:rsidR="009454D3">
        <w:t>’s</w:t>
      </w:r>
      <w:r w:rsidRPr="00605672">
        <w:t xml:space="preserve"> ex post transaction costs</w:t>
      </w:r>
      <w:r w:rsidR="009454D3">
        <w:t xml:space="preserve">, which </w:t>
      </w:r>
      <w:r w:rsidRPr="00605672">
        <w:t xml:space="preserve">follow from </w:t>
      </w:r>
      <w:r w:rsidR="009454D3">
        <w:t xml:space="preserve">its </w:t>
      </w:r>
      <w:r w:rsidRPr="00605672">
        <w:t xml:space="preserve">incremental investments. Finally, we consider the joint effect of selection </w:t>
      </w:r>
      <w:r w:rsidR="002A70B5" w:rsidRPr="00605672">
        <w:t xml:space="preserve">efforts </w:t>
      </w:r>
      <w:r w:rsidRPr="00605672">
        <w:t xml:space="preserve">and mutual investments on supplier ex post transaction costs. </w:t>
      </w:r>
      <w:r w:rsidR="009454D3">
        <w:t xml:space="preserve">The </w:t>
      </w:r>
      <w:r w:rsidRPr="00605672">
        <w:t>conceptual model</w:t>
      </w:r>
      <w:r w:rsidR="009454D3">
        <w:t xml:space="preserve"> </w:t>
      </w:r>
      <w:r w:rsidRPr="00605672">
        <w:t>correspond</w:t>
      </w:r>
      <w:r w:rsidR="009454D3">
        <w:t>ing</w:t>
      </w:r>
      <w:r w:rsidRPr="00605672">
        <w:t xml:space="preserve"> to our research hypotheses</w:t>
      </w:r>
      <w:r w:rsidR="009454D3">
        <w:t xml:space="preserve"> is</w:t>
      </w:r>
      <w:r w:rsidRPr="00605672">
        <w:t xml:space="preserve"> in Figure 1.</w:t>
      </w:r>
      <w:r w:rsidRPr="00605672">
        <w:rPr>
          <w:rStyle w:val="FootnoteReference"/>
        </w:rPr>
        <w:footnoteReference w:id="2"/>
      </w:r>
    </w:p>
    <w:p w14:paraId="6A0DADBB" w14:textId="77777777" w:rsidR="00E278CC" w:rsidRPr="00605672" w:rsidRDefault="00E278CC" w:rsidP="00CC6754">
      <w:pPr>
        <w:spacing w:before="240" w:line="480" w:lineRule="auto"/>
        <w:jc w:val="center"/>
      </w:pPr>
      <w:r w:rsidRPr="00605672">
        <w:t>---- Insert Figure 1 about here ----</w:t>
      </w:r>
    </w:p>
    <w:p w14:paraId="29CECC2E" w14:textId="77777777" w:rsidR="00E278CC" w:rsidRPr="00605672" w:rsidRDefault="00E278CC" w:rsidP="00E278CC">
      <w:pPr>
        <w:spacing w:before="240" w:line="480" w:lineRule="auto"/>
        <w:rPr>
          <w:i/>
        </w:rPr>
      </w:pPr>
      <w:r w:rsidRPr="00605672">
        <w:rPr>
          <w:i/>
        </w:rPr>
        <w:t>Antecedents of Supplier Incremental Investments</w:t>
      </w:r>
    </w:p>
    <w:p w14:paraId="7D7BD41A" w14:textId="5BC1AD48" w:rsidR="00E278CC" w:rsidRPr="00605672" w:rsidRDefault="00E278CC" w:rsidP="00E278CC">
      <w:pPr>
        <w:pStyle w:val="NormalFirstline05"/>
        <w:spacing w:before="0"/>
      </w:pPr>
      <w:r w:rsidRPr="00605672">
        <w:t xml:space="preserve">Past research (e.g., Heide 1994) suggests that the manner in which a channel relationship </w:t>
      </w:r>
      <w:r w:rsidR="009454D3">
        <w:t xml:space="preserve">begins </w:t>
      </w:r>
      <w:r w:rsidRPr="00605672">
        <w:t xml:space="preserve">has ongoing governance implications. Such arguments are rooted in the idea that </w:t>
      </w:r>
      <w:r w:rsidRPr="00605672">
        <w:lastRenderedPageBreak/>
        <w:t xml:space="preserve">“selective play” with partners who possess particular abilities promotes value creation. Sociological accounts of relationships </w:t>
      </w:r>
      <w:r w:rsidR="009454D3">
        <w:t xml:space="preserve">indicate that </w:t>
      </w:r>
      <w:r w:rsidRPr="00605672">
        <w:t xml:space="preserve">stringent selection efforts allow </w:t>
      </w:r>
      <w:r w:rsidR="009454D3">
        <w:t>the</w:t>
      </w:r>
      <w:r w:rsidRPr="00605672">
        <w:t xml:space="preserve"> firm to identify and acquire a “bundle of partner traits” (Stovel and Fountain 2009, p. 505)</w:t>
      </w:r>
      <w:r w:rsidR="009454D3">
        <w:t xml:space="preserve"> that then determine a particular </w:t>
      </w:r>
      <w:r w:rsidRPr="00605672">
        <w:t xml:space="preserve">reseller’s “fit” (Heide and Wathne 2006, p. 94) and ability to perform. Xerox, Dell, and Home Depot all rely on formal qualification programs </w:t>
      </w:r>
      <w:r w:rsidR="009454D3">
        <w:t xml:space="preserve">to </w:t>
      </w:r>
      <w:r w:rsidRPr="00605672">
        <w:t xml:space="preserve">evaluate potential partners on criteria </w:t>
      </w:r>
      <w:r w:rsidR="009454D3">
        <w:t xml:space="preserve">such as </w:t>
      </w:r>
      <w:r w:rsidRPr="00605672">
        <w:t xml:space="preserve">physical facilities, human resource capabilities, and financial strength. Berry (1999) describes the extraordinary effort by Chik-fil-A to select potential store operators; </w:t>
      </w:r>
      <w:r w:rsidR="009454D3">
        <w:t xml:space="preserve">such </w:t>
      </w:r>
      <w:r w:rsidRPr="00605672">
        <w:t xml:space="preserve">efforts are foundational to </w:t>
      </w:r>
      <w:r w:rsidR="009454D3">
        <w:t xml:space="preserve">its </w:t>
      </w:r>
      <w:r w:rsidRPr="00605672">
        <w:t xml:space="preserve">overall marketing strategy. </w:t>
      </w:r>
      <w:r w:rsidR="009454D3">
        <w:t>S</w:t>
      </w:r>
      <w:r w:rsidRPr="00605672">
        <w:t xml:space="preserve">election efforts may </w:t>
      </w:r>
      <w:r w:rsidR="009454D3">
        <w:t xml:space="preserve">focus on </w:t>
      </w:r>
      <w:r w:rsidRPr="00605672">
        <w:t xml:space="preserve">preexisting secondary information </w:t>
      </w:r>
      <w:r w:rsidR="009454D3">
        <w:t xml:space="preserve">or </w:t>
      </w:r>
      <w:r w:rsidRPr="00605672">
        <w:t>first-hand observation</w:t>
      </w:r>
      <w:r w:rsidR="009454D3">
        <w:t>s</w:t>
      </w:r>
      <w:r w:rsidRPr="00605672">
        <w:t xml:space="preserve"> </w:t>
      </w:r>
      <w:r w:rsidR="009454D3">
        <w:t xml:space="preserve">in </w:t>
      </w:r>
      <w:r w:rsidRPr="00605672">
        <w:t xml:space="preserve">a </w:t>
      </w:r>
      <w:r w:rsidR="00F05211" w:rsidRPr="00605672">
        <w:t xml:space="preserve">formal </w:t>
      </w:r>
      <w:r w:rsidR="004B21B9" w:rsidRPr="00605672">
        <w:t xml:space="preserve">qualification </w:t>
      </w:r>
      <w:r w:rsidR="009454D3">
        <w:t>process</w:t>
      </w:r>
      <w:r w:rsidRPr="00605672">
        <w:t>.</w:t>
      </w:r>
    </w:p>
    <w:p w14:paraId="10F8ABFD" w14:textId="0169E37F" w:rsidR="00E278CC" w:rsidRPr="00605672" w:rsidRDefault="00E278CC" w:rsidP="00E278CC">
      <w:pPr>
        <w:pStyle w:val="NormalFirstline05"/>
        <w:spacing w:before="0"/>
      </w:pPr>
      <w:r w:rsidRPr="00605672">
        <w:t xml:space="preserve">To the extent that stringent selection efforts </w:t>
      </w:r>
      <w:r w:rsidR="009454D3">
        <w:t xml:space="preserve">enable the </w:t>
      </w:r>
      <w:r w:rsidRPr="00605672">
        <w:t xml:space="preserve">supplier to identify a reseller with appropriate abilities, </w:t>
      </w:r>
      <w:r w:rsidR="009454D3">
        <w:t xml:space="preserve">they </w:t>
      </w:r>
      <w:r w:rsidRPr="00605672">
        <w:t>minimize the likelihood of costly reseller errors</w:t>
      </w:r>
      <w:r w:rsidR="009454D3">
        <w:t xml:space="preserve"> and thus</w:t>
      </w:r>
      <w:r w:rsidRPr="00605672">
        <w:t xml:space="preserve"> the need for corrective supplier action</w:t>
      </w:r>
      <w:r w:rsidR="009454D3">
        <w:t xml:space="preserve"> or</w:t>
      </w:r>
      <w:r w:rsidRPr="00605672">
        <w:t xml:space="preserve"> subsequent renegotiations. </w:t>
      </w:r>
      <w:r w:rsidR="009454D3">
        <w:t>I</w:t>
      </w:r>
      <w:r w:rsidRPr="00605672">
        <w:t xml:space="preserve">nitial reseller selection efforts </w:t>
      </w:r>
      <w:r w:rsidR="009454D3">
        <w:t xml:space="preserve">in turn should increase the </w:t>
      </w:r>
      <w:r w:rsidRPr="00605672">
        <w:t>supplier’s willingness to make incremental investments in reseller-specific assets subsequent</w:t>
      </w:r>
      <w:r w:rsidR="009454D3">
        <w:t>ly</w:t>
      </w:r>
      <w:r w:rsidRPr="00605672">
        <w:t xml:space="preserve">. For </w:t>
      </w:r>
      <w:r w:rsidR="009454D3">
        <w:t>example</w:t>
      </w:r>
      <w:r w:rsidRPr="00605672">
        <w:t xml:space="preserve">, a supplier </w:t>
      </w:r>
      <w:r w:rsidR="009454D3">
        <w:t xml:space="preserve">might </w:t>
      </w:r>
      <w:r w:rsidRPr="00605672">
        <w:t xml:space="preserve">continue to </w:t>
      </w:r>
      <w:r w:rsidR="00F05211" w:rsidRPr="00605672">
        <w:t xml:space="preserve">make </w:t>
      </w:r>
      <w:r w:rsidRPr="00605672">
        <w:t>invest</w:t>
      </w:r>
      <w:r w:rsidR="00F05211" w:rsidRPr="00605672">
        <w:t>ments</w:t>
      </w:r>
      <w:r w:rsidRPr="00605672">
        <w:t xml:space="preserve"> in </w:t>
      </w:r>
      <w:r w:rsidR="009454D3">
        <w:t xml:space="preserve">training the </w:t>
      </w:r>
      <w:r w:rsidRPr="00605672">
        <w:t>reseller</w:t>
      </w:r>
      <w:r w:rsidR="00F05211" w:rsidRPr="00605672">
        <w:t xml:space="preserve"> </w:t>
      </w:r>
      <w:r w:rsidR="009454D3">
        <w:t xml:space="preserve">or developing </w:t>
      </w:r>
      <w:r w:rsidRPr="00605672">
        <w:t xml:space="preserve">dedicated logistics systems (Weiss and Kurland 1997). Such investments have the potential to create value, as Ghosh and John (1999) </w:t>
      </w:r>
      <w:r w:rsidR="009454D3">
        <w:t xml:space="preserve">predict in their </w:t>
      </w:r>
      <w:r w:rsidRPr="00605672">
        <w:t>“</w:t>
      </w:r>
      <w:r w:rsidR="009454D3">
        <w:t>g</w:t>
      </w:r>
      <w:r w:rsidRPr="00605672">
        <w:t xml:space="preserve">overnance </w:t>
      </w:r>
      <w:r w:rsidR="009454D3">
        <w:t>v</w:t>
      </w:r>
      <w:r w:rsidRPr="00605672">
        <w:t xml:space="preserve">alue </w:t>
      </w:r>
      <w:r w:rsidR="009454D3">
        <w:t>a</w:t>
      </w:r>
      <w:r w:rsidRPr="00605672">
        <w:t>nalysis</w:t>
      </w:r>
      <w:r w:rsidR="009454D3">
        <w:t>.</w:t>
      </w:r>
      <w:r w:rsidRPr="00605672">
        <w:t xml:space="preserve">” </w:t>
      </w:r>
      <w:r w:rsidR="009454D3">
        <w:t xml:space="preserve">Because </w:t>
      </w:r>
      <w:r w:rsidRPr="00605672">
        <w:t xml:space="preserve">they have </w:t>
      </w:r>
      <w:r w:rsidR="009454D3">
        <w:t xml:space="preserve">little </w:t>
      </w:r>
      <w:r w:rsidRPr="00605672">
        <w:t xml:space="preserve">value </w:t>
      </w:r>
      <w:r w:rsidR="009454D3">
        <w:t xml:space="preserve">for </w:t>
      </w:r>
      <w:r w:rsidRPr="00605672">
        <w:t xml:space="preserve">alternative uses (Anderson and Weitz 1992), </w:t>
      </w:r>
      <w:r w:rsidR="009454D3">
        <w:t xml:space="preserve">such investments also </w:t>
      </w:r>
      <w:r w:rsidRPr="00605672">
        <w:t xml:space="preserve">make the supplier vulnerable to the reseller. </w:t>
      </w:r>
      <w:r w:rsidR="009454D3">
        <w:t>A</w:t>
      </w:r>
      <w:r w:rsidRPr="00605672">
        <w:t xml:space="preserve"> poorly qualified reseller may lack the skill to realize the value that resides in the supplier’s investments</w:t>
      </w:r>
      <w:r w:rsidR="009454D3">
        <w:t xml:space="preserve">, which would create </w:t>
      </w:r>
      <w:r w:rsidRPr="00605672">
        <w:t xml:space="preserve">value-claiming difficulties, due to the need </w:t>
      </w:r>
      <w:r w:rsidR="009454D3">
        <w:t xml:space="preserve">to take </w:t>
      </w:r>
      <w:r w:rsidRPr="00605672">
        <w:t xml:space="preserve">corrective action and ongoing haggling (Ghosh and John 2005). </w:t>
      </w:r>
      <w:r w:rsidR="009454D3">
        <w:t>S</w:t>
      </w:r>
      <w:r w:rsidRPr="00605672">
        <w:t xml:space="preserve">ome </w:t>
      </w:r>
      <w:r w:rsidR="009454D3">
        <w:t xml:space="preserve">such </w:t>
      </w:r>
      <w:r w:rsidRPr="00605672">
        <w:t xml:space="preserve">difficulties may </w:t>
      </w:r>
      <w:r w:rsidR="009454D3">
        <w:t xml:space="preserve">stem from </w:t>
      </w:r>
      <w:r w:rsidRPr="00605672">
        <w:t xml:space="preserve">honest disagreements (Alchian and Woodward 1988), </w:t>
      </w:r>
      <w:r w:rsidR="00761357">
        <w:t>yet</w:t>
      </w:r>
      <w:r w:rsidR="00761357" w:rsidRPr="00605672">
        <w:t xml:space="preserve"> stringent</w:t>
      </w:r>
      <w:r w:rsidRPr="00605672">
        <w:t xml:space="preserve"> selection efforts </w:t>
      </w:r>
      <w:r w:rsidR="009454D3">
        <w:t xml:space="preserve">still may </w:t>
      </w:r>
      <w:r w:rsidRPr="00605672">
        <w:t xml:space="preserve">reduce their incidence and </w:t>
      </w:r>
      <w:r w:rsidRPr="00605672">
        <w:lastRenderedPageBreak/>
        <w:t>magnitude</w:t>
      </w:r>
      <w:r w:rsidR="009454D3">
        <w:t>, regardless of their cause</w:t>
      </w:r>
      <w:r w:rsidRPr="00605672">
        <w:t xml:space="preserve">. In turn, </w:t>
      </w:r>
      <w:r w:rsidR="00F05211" w:rsidRPr="00605672">
        <w:t xml:space="preserve">selection efforts </w:t>
      </w:r>
      <w:r w:rsidRPr="00605672">
        <w:t xml:space="preserve">give the supplier a </w:t>
      </w:r>
      <w:r w:rsidR="009454D3">
        <w:t xml:space="preserve">foundation </w:t>
      </w:r>
      <w:r w:rsidRPr="00605672">
        <w:t xml:space="preserve">on which to make subsequent investments. As a specific example, Liker and Choi (2004, p. 107) describe how Toyota’s partner selection process serves as “scaffolding” for its specific investments. Toyota “filters in” partners </w:t>
      </w:r>
      <w:r w:rsidR="009454D3">
        <w:t xml:space="preserve">that </w:t>
      </w:r>
      <w:r w:rsidRPr="00605672">
        <w:t xml:space="preserve">are capable of delivering on </w:t>
      </w:r>
      <w:r w:rsidR="009454D3">
        <w:t xml:space="preserve">its </w:t>
      </w:r>
      <w:r w:rsidRPr="00605672">
        <w:t>task requirements, which motivates Toyota to make value-enhancing investments</w:t>
      </w:r>
      <w:r w:rsidR="009454D3">
        <w:t xml:space="preserve"> in those partners</w:t>
      </w:r>
      <w:r w:rsidRPr="00605672">
        <w:t xml:space="preserve">. </w:t>
      </w:r>
      <w:r w:rsidR="009454D3">
        <w:t xml:space="preserve">The </w:t>
      </w:r>
      <w:r w:rsidRPr="00605672">
        <w:t xml:space="preserve">initial selection efforts promote subsequent investments in specific assets. </w:t>
      </w:r>
      <w:r w:rsidR="009454D3">
        <w:t xml:space="preserve">Formally, </w:t>
      </w:r>
    </w:p>
    <w:p w14:paraId="2EEAB6EB" w14:textId="234654BF" w:rsidR="00E278CC" w:rsidRPr="00605672" w:rsidRDefault="00E278CC" w:rsidP="009454D3">
      <w:pPr>
        <w:spacing w:before="120"/>
        <w:ind w:left="1170" w:hanging="436"/>
      </w:pPr>
      <w:r w:rsidRPr="00605672">
        <w:rPr>
          <w:b/>
        </w:rPr>
        <w:t>H</w:t>
      </w:r>
      <w:r w:rsidR="00AA5B5D" w:rsidRPr="00727D37">
        <w:rPr>
          <w:b/>
          <w:vertAlign w:val="subscript"/>
        </w:rPr>
        <w:t>1</w:t>
      </w:r>
      <w:r w:rsidRPr="00605672">
        <w:rPr>
          <w:b/>
        </w:rPr>
        <w:t>:</w:t>
      </w:r>
      <w:r w:rsidRPr="00605672">
        <w:t xml:space="preserve"> More stringent initial reseller selection efforts promote incremental investments by the supplier.</w:t>
      </w:r>
    </w:p>
    <w:p w14:paraId="04005B97" w14:textId="011F1402" w:rsidR="004A1B6C" w:rsidRDefault="00E278CC" w:rsidP="00727D37">
      <w:pPr>
        <w:pStyle w:val="NormalFirstline05"/>
        <w:spacing w:before="360"/>
        <w:contextualSpacing/>
      </w:pPr>
      <w:r w:rsidRPr="00605672">
        <w:t>In contrast with sociological and agency</w:t>
      </w:r>
      <w:r w:rsidR="009454D3">
        <w:t xml:space="preserve"> theory </w:t>
      </w:r>
      <w:r w:rsidRPr="00605672">
        <w:t xml:space="preserve">accounts of selection, transaction cost economics (TCE) </w:t>
      </w:r>
      <w:r w:rsidR="009454D3">
        <w:t xml:space="preserve">largely ignores </w:t>
      </w:r>
      <w:r w:rsidRPr="00605672">
        <w:t xml:space="preserve">partner ability. Oxley and Silverman (2008, p. 219) specifically note </w:t>
      </w:r>
      <w:r w:rsidR="009454D3">
        <w:t xml:space="preserve">that </w:t>
      </w:r>
      <w:r w:rsidRPr="00605672">
        <w:t xml:space="preserve">TCE historically </w:t>
      </w:r>
      <w:r w:rsidR="009454D3">
        <w:t xml:space="preserve">has </w:t>
      </w:r>
      <w:r w:rsidRPr="00605672">
        <w:t>been “silent concerning the question of with whom to ally</w:t>
      </w:r>
      <w:r w:rsidR="009454D3">
        <w:t>.</w:t>
      </w:r>
      <w:r w:rsidRPr="00605672">
        <w:t>”</w:t>
      </w:r>
      <w:r w:rsidR="009454D3">
        <w:t xml:space="preserve"> Rather, its </w:t>
      </w:r>
      <w:r w:rsidRPr="00605672">
        <w:t xml:space="preserve">main focus is on how governance structures shape a party’s </w:t>
      </w:r>
      <w:r w:rsidR="00AA5B5D" w:rsidRPr="00727D37">
        <w:t>motivation</w:t>
      </w:r>
      <w:r w:rsidRPr="00605672">
        <w:rPr>
          <w:i/>
        </w:rPr>
        <w:t xml:space="preserve"> </w:t>
      </w:r>
      <w:r w:rsidR="000952BE" w:rsidRPr="00605672">
        <w:t xml:space="preserve">to support a given relationship </w:t>
      </w:r>
      <w:r w:rsidRPr="00605672">
        <w:t xml:space="preserve">(Lindenberg 2013). </w:t>
      </w:r>
      <w:r w:rsidR="009454D3">
        <w:t xml:space="preserve">If </w:t>
      </w:r>
      <w:r w:rsidRPr="00605672">
        <w:t xml:space="preserve">a supplier is </w:t>
      </w:r>
      <w:r w:rsidR="00C30924" w:rsidRPr="00605672">
        <w:t xml:space="preserve">contemplating </w:t>
      </w:r>
      <w:r w:rsidRPr="00605672">
        <w:t>incremental</w:t>
      </w:r>
      <w:r w:rsidR="009454D3">
        <w:t>,</w:t>
      </w:r>
      <w:r w:rsidRPr="00605672">
        <w:rPr>
          <w:i/>
        </w:rPr>
        <w:t xml:space="preserve"> </w:t>
      </w:r>
      <w:r w:rsidRPr="00605672">
        <w:t xml:space="preserve">specific investments in </w:t>
      </w:r>
      <w:r w:rsidR="009454D3">
        <w:t xml:space="preserve">an </w:t>
      </w:r>
      <w:r w:rsidRPr="00605672">
        <w:t>ongoing relationship with a particular reseller</w:t>
      </w:r>
      <w:r w:rsidR="009454D3">
        <w:t xml:space="preserve">, it recognizes its potential </w:t>
      </w:r>
      <w:r w:rsidRPr="00605672">
        <w:t>vulnerability to the reseller’s actions</w:t>
      </w:r>
      <w:r w:rsidR="009454D3">
        <w:t>,</w:t>
      </w:r>
      <w:r w:rsidRPr="00605672">
        <w:t xml:space="preserve"> due to </w:t>
      </w:r>
      <w:r w:rsidR="009454D3">
        <w:t xml:space="preserve">the </w:t>
      </w:r>
      <w:r w:rsidRPr="00605672">
        <w:t>lock-in</w:t>
      </w:r>
      <w:r w:rsidR="009454D3">
        <w:t xml:space="preserve"> that results from its investments</w:t>
      </w:r>
      <w:r w:rsidRPr="00605672">
        <w:t>. The reseller may exploit the situation</w:t>
      </w:r>
      <w:r w:rsidR="009454D3">
        <w:t>,</w:t>
      </w:r>
      <w:r w:rsidRPr="00605672">
        <w:t xml:space="preserve"> by renegotiating terms with the supplier</w:t>
      </w:r>
      <w:r w:rsidR="009454D3">
        <w:t xml:space="preserve"> or</w:t>
      </w:r>
      <w:r w:rsidRPr="00605672">
        <w:t xml:space="preserve"> demanding extra services and features </w:t>
      </w:r>
      <w:r w:rsidR="009454D3">
        <w:t xml:space="preserve">without any additional compensation </w:t>
      </w:r>
      <w:r w:rsidRPr="00605672">
        <w:t xml:space="preserve">(Rokkan, Heide, and Wathne 2003; Williamson 1985). </w:t>
      </w:r>
      <w:r w:rsidR="009454D3">
        <w:t xml:space="preserve">According to </w:t>
      </w:r>
      <w:r w:rsidRPr="00605672">
        <w:t>TCE</w:t>
      </w:r>
      <w:r w:rsidR="009454D3">
        <w:t xml:space="preserve">, </w:t>
      </w:r>
      <w:r w:rsidRPr="00605672">
        <w:t xml:space="preserve">a farsighted investor can mitigate </w:t>
      </w:r>
      <w:r w:rsidR="009454D3">
        <w:t xml:space="preserve">this </w:t>
      </w:r>
      <w:r w:rsidRPr="00605672">
        <w:t xml:space="preserve">vulnerability if </w:t>
      </w:r>
      <w:r w:rsidR="009454D3">
        <w:t>the</w:t>
      </w:r>
      <w:r w:rsidRPr="00605672">
        <w:t xml:space="preserve"> relationship’s governance structure reduce</w:t>
      </w:r>
      <w:r w:rsidR="008213E1" w:rsidRPr="00605672">
        <w:t>s</w:t>
      </w:r>
      <w:r w:rsidRPr="00605672">
        <w:t xml:space="preserve"> the partner’s motivation to exploit </w:t>
      </w:r>
      <w:r w:rsidR="009B6C9B">
        <w:t>the</w:t>
      </w:r>
      <w:r w:rsidR="009454D3">
        <w:t xml:space="preserve"> </w:t>
      </w:r>
      <w:r w:rsidRPr="00605672">
        <w:t xml:space="preserve">lock-in condition. Specifically, Williamson’s (1983) hostage model suggests </w:t>
      </w:r>
      <w:r w:rsidR="009454D3">
        <w:t xml:space="preserve">the need for </w:t>
      </w:r>
      <w:r w:rsidRPr="00605672">
        <w:t>preexisting</w:t>
      </w:r>
      <w:r w:rsidR="009454D3">
        <w:t xml:space="preserve"> </w:t>
      </w:r>
      <w:r w:rsidRPr="00605672">
        <w:t xml:space="preserve">specific investments </w:t>
      </w:r>
      <w:r w:rsidR="009454D3">
        <w:t xml:space="preserve">by </w:t>
      </w:r>
      <w:r w:rsidRPr="00605672">
        <w:t xml:space="preserve">the </w:t>
      </w:r>
      <w:r w:rsidR="009454D3">
        <w:t xml:space="preserve">reseller. </w:t>
      </w:r>
      <w:r w:rsidRPr="00605672">
        <w:t xml:space="preserve">To the extent that the reseller faces lock-in </w:t>
      </w:r>
      <w:r w:rsidR="009454D3">
        <w:t xml:space="preserve">due to </w:t>
      </w:r>
      <w:r w:rsidRPr="00605672">
        <w:t xml:space="preserve">its own specific investments, it creates a self-enforcing agreement (Telser 1980) </w:t>
      </w:r>
      <w:r w:rsidR="002F57C2">
        <w:t xml:space="preserve">that </w:t>
      </w:r>
      <w:r w:rsidRPr="00605672">
        <w:t xml:space="preserve">motivates the reseller to </w:t>
      </w:r>
      <w:r w:rsidR="002F57C2">
        <w:t xml:space="preserve">engage in </w:t>
      </w:r>
      <w:r w:rsidRPr="00605672">
        <w:t xml:space="preserve">behaviors </w:t>
      </w:r>
      <w:r w:rsidR="002F57C2">
        <w:t xml:space="preserve">to </w:t>
      </w:r>
      <w:r w:rsidRPr="00605672">
        <w:t xml:space="preserve">maintain the relationship and prevent termination. In turn, </w:t>
      </w:r>
      <w:r w:rsidR="002F57C2">
        <w:t xml:space="preserve">the </w:t>
      </w:r>
      <w:r w:rsidRPr="00605672">
        <w:t xml:space="preserve">supplier </w:t>
      </w:r>
      <w:r w:rsidR="002F57C2">
        <w:t xml:space="preserve">can </w:t>
      </w:r>
      <w:r w:rsidRPr="00605672">
        <w:t xml:space="preserve">make incremental investments without </w:t>
      </w:r>
      <w:r w:rsidR="002F57C2">
        <w:t xml:space="preserve">excessive </w:t>
      </w:r>
      <w:r w:rsidRPr="00605672">
        <w:t xml:space="preserve">fear of exploitation. </w:t>
      </w:r>
    </w:p>
    <w:p w14:paraId="01C68697" w14:textId="3D27D34A" w:rsidR="00E278CC" w:rsidRPr="00605672" w:rsidRDefault="00E278CC" w:rsidP="00E278CC">
      <w:pPr>
        <w:spacing w:line="480" w:lineRule="auto"/>
        <w:ind w:firstLine="720"/>
      </w:pPr>
      <w:r w:rsidRPr="00605672">
        <w:lastRenderedPageBreak/>
        <w:t xml:space="preserve">Williamson’s </w:t>
      </w:r>
      <w:r w:rsidR="002F57C2">
        <w:t xml:space="preserve">(1985) </w:t>
      </w:r>
      <w:r w:rsidRPr="00605672">
        <w:t xml:space="preserve">original hostage model </w:t>
      </w:r>
      <w:r w:rsidR="002F57C2">
        <w:t xml:space="preserve">also </w:t>
      </w:r>
      <w:r w:rsidRPr="00605672">
        <w:t>has been extended to bilateral exchange</w:t>
      </w:r>
      <w:r w:rsidR="002F57C2">
        <w:t>s</w:t>
      </w:r>
      <w:r w:rsidRPr="00605672">
        <w:t xml:space="preserve">, </w:t>
      </w:r>
      <w:r w:rsidR="002F57C2">
        <w:t xml:space="preserve">in which </w:t>
      </w:r>
      <w:r w:rsidRPr="00605672">
        <w:t xml:space="preserve">both parties </w:t>
      </w:r>
      <w:r w:rsidR="002F57C2">
        <w:t xml:space="preserve">place </w:t>
      </w:r>
      <w:r w:rsidRPr="00605672">
        <w:t>assets at risk</w:t>
      </w:r>
      <w:r w:rsidR="002F57C2">
        <w:t xml:space="preserve">. In our study </w:t>
      </w:r>
      <w:r w:rsidRPr="00605672">
        <w:t xml:space="preserve">context, a supplier may </w:t>
      </w:r>
      <w:r w:rsidR="002F57C2">
        <w:t xml:space="preserve">make </w:t>
      </w:r>
      <w:r w:rsidRPr="00605672">
        <w:t>initial</w:t>
      </w:r>
      <w:r w:rsidRPr="00605672">
        <w:rPr>
          <w:i/>
        </w:rPr>
        <w:t xml:space="preserve"> </w:t>
      </w:r>
      <w:r w:rsidRPr="00605672">
        <w:t>specific investments</w:t>
      </w:r>
      <w:r w:rsidR="002F57C2">
        <w:t xml:space="preserve"> that </w:t>
      </w:r>
      <w:r w:rsidRPr="00605672">
        <w:t>create lock-in with the reseller</w:t>
      </w:r>
      <w:r w:rsidR="002F57C2">
        <w:t xml:space="preserve">, but the </w:t>
      </w:r>
      <w:r w:rsidRPr="00605672">
        <w:t xml:space="preserve">general hostage model </w:t>
      </w:r>
      <w:r w:rsidR="002F57C2">
        <w:t xml:space="preserve">does not reflect </w:t>
      </w:r>
      <w:r w:rsidRPr="00605672">
        <w:t>the particular nature of a bilateral relation</w:t>
      </w:r>
      <w:r w:rsidR="002F57C2">
        <w:t xml:space="preserve">, in which the </w:t>
      </w:r>
      <w:r w:rsidRPr="00605672">
        <w:t xml:space="preserve">specific </w:t>
      </w:r>
      <w:r w:rsidR="00AA5B5D" w:rsidRPr="00727D37">
        <w:t>pattern</w:t>
      </w:r>
      <w:r w:rsidRPr="00605672">
        <w:t xml:space="preserve"> of parties’ investments </w:t>
      </w:r>
      <w:r w:rsidR="002F57C2">
        <w:t xml:space="preserve">affects </w:t>
      </w:r>
      <w:r w:rsidRPr="00605672">
        <w:t>their decisions. McEvily, Zaheer, and Kamal (2017) suggest that</w:t>
      </w:r>
      <w:r w:rsidR="002F57C2">
        <w:t>,</w:t>
      </w:r>
      <w:r w:rsidRPr="00605672">
        <w:t xml:space="preserve"> for the purpose of explaining </w:t>
      </w:r>
      <w:r w:rsidR="002F57C2">
        <w:t xml:space="preserve">a </w:t>
      </w:r>
      <w:r w:rsidRPr="00605672">
        <w:t xml:space="preserve">supplier’s investment decision, the key aspect of bilateral investments is their degree of asymmetry, </w:t>
      </w:r>
      <w:r w:rsidR="002F57C2">
        <w:t xml:space="preserve">or </w:t>
      </w:r>
      <w:r w:rsidRPr="00605672">
        <w:t xml:space="preserve">whether the reseller’s investments are greater than the supplier’s. In line with this argument, we posit that the motivational effect of a reseller hostage requires the overall stock of mutual investments in the relationship </w:t>
      </w:r>
      <w:r w:rsidR="002F57C2">
        <w:t xml:space="preserve">to </w:t>
      </w:r>
      <w:r w:rsidRPr="00605672">
        <w:t xml:space="preserve">be asymmetric </w:t>
      </w:r>
      <w:r w:rsidR="002F57C2">
        <w:t xml:space="preserve">and </w:t>
      </w:r>
      <w:r w:rsidRPr="00605672">
        <w:t xml:space="preserve">in the supplier’s favor. </w:t>
      </w:r>
      <w:r w:rsidR="002F57C2">
        <w:t>The</w:t>
      </w:r>
      <w:r w:rsidRPr="00605672">
        <w:t xml:space="preserve"> condition of asymmetry provides governance benefits for the supplier and serves as a safeguard that encourages incremental investments. </w:t>
      </w:r>
      <w:r w:rsidR="002F57C2">
        <w:t xml:space="preserve">This </w:t>
      </w:r>
      <w:r w:rsidRPr="00605672">
        <w:t xml:space="preserve">notion of asymmetry </w:t>
      </w:r>
      <w:r w:rsidR="002F57C2">
        <w:t xml:space="preserve">similarly </w:t>
      </w:r>
      <w:r w:rsidRPr="00605672">
        <w:t xml:space="preserve">underlies a large body of marketing </w:t>
      </w:r>
      <w:r w:rsidR="002F57C2">
        <w:t xml:space="preserve">literature pertaining to </w:t>
      </w:r>
      <w:r w:rsidRPr="00605672">
        <w:t xml:space="preserve">interfirm dependence (e.g., Kumar, Scheer, and Steenkamp 1995), </w:t>
      </w:r>
      <w:r w:rsidR="002F57C2">
        <w:t xml:space="preserve">which indicates that </w:t>
      </w:r>
      <w:r w:rsidRPr="00605672">
        <w:t>asymmetry reduce</w:t>
      </w:r>
      <w:r w:rsidR="002F57C2">
        <w:t>s</w:t>
      </w:r>
      <w:r w:rsidRPr="00605672">
        <w:t xml:space="preserve"> the vulnerability that otherwise resides in a dependence condition. Thus, in parallel to H</w:t>
      </w:r>
      <w:r w:rsidR="00AA5B5D" w:rsidRPr="00727D37">
        <w:rPr>
          <w:vertAlign w:val="subscript"/>
        </w:rPr>
        <w:t>1</w:t>
      </w:r>
      <w:r w:rsidRPr="00605672">
        <w:t xml:space="preserve">, we predict that a preexisting governance structure promotes incremental investments </w:t>
      </w:r>
      <w:r w:rsidR="002F57C2">
        <w:t>by the</w:t>
      </w:r>
      <w:r w:rsidRPr="00605672">
        <w:t xml:space="preserve"> supplier.</w:t>
      </w:r>
      <w:r w:rsidR="002F57C2" w:rsidRPr="00605672">
        <w:rPr>
          <w:rStyle w:val="FootnoteReference"/>
        </w:rPr>
        <w:footnoteReference w:id="3"/>
      </w:r>
      <w:r w:rsidRPr="00605672">
        <w:t xml:space="preserve">  </w:t>
      </w:r>
    </w:p>
    <w:p w14:paraId="3825FC7D" w14:textId="446E9BAF" w:rsidR="00E278CC" w:rsidRPr="00605672" w:rsidRDefault="00E278CC" w:rsidP="002F57C2">
      <w:pPr>
        <w:spacing w:before="120"/>
        <w:ind w:left="1170" w:hanging="436"/>
      </w:pPr>
      <w:r w:rsidRPr="00605672">
        <w:rPr>
          <w:b/>
        </w:rPr>
        <w:t>H</w:t>
      </w:r>
      <w:r w:rsidR="00AA5B5D" w:rsidRPr="00727D37">
        <w:rPr>
          <w:b/>
          <w:vertAlign w:val="subscript"/>
        </w:rPr>
        <w:t>2</w:t>
      </w:r>
      <w:r w:rsidRPr="00605672">
        <w:rPr>
          <w:b/>
        </w:rPr>
        <w:t>:</w:t>
      </w:r>
      <w:r w:rsidRPr="00605672">
        <w:t xml:space="preserve"> Greater asymmetry in initial mutual investments in the supplier’s favor promote</w:t>
      </w:r>
      <w:r w:rsidR="002F57C2">
        <w:t>s</w:t>
      </w:r>
      <w:r w:rsidRPr="00605672">
        <w:t xml:space="preserve"> incremental investments by the supplier.</w:t>
      </w:r>
    </w:p>
    <w:p w14:paraId="485BF625" w14:textId="18958B63" w:rsidR="00E278CC" w:rsidRPr="00605672" w:rsidRDefault="00E278CC" w:rsidP="00E278CC">
      <w:pPr>
        <w:pStyle w:val="NormalFirstline05"/>
        <w:spacing w:after="240" w:line="240" w:lineRule="auto"/>
        <w:ind w:firstLine="0"/>
        <w:rPr>
          <w:i/>
        </w:rPr>
      </w:pPr>
      <w:r w:rsidRPr="00605672">
        <w:rPr>
          <w:i/>
        </w:rPr>
        <w:t>Consequences of Supplier Incremental Investments on Supplier Ex Post Transaction Costs</w:t>
      </w:r>
    </w:p>
    <w:p w14:paraId="68DBC6BE" w14:textId="571B751D" w:rsidR="00E278CC" w:rsidRPr="00605672" w:rsidRDefault="002F57C2" w:rsidP="00E278CC">
      <w:pPr>
        <w:pStyle w:val="NormalFirstline05"/>
        <w:spacing w:before="0"/>
      </w:pPr>
      <w:r>
        <w:t>In predicting</w:t>
      </w:r>
      <w:r w:rsidR="00E278CC" w:rsidRPr="00605672">
        <w:t xml:space="preserve"> the supplier’s investment decision</w:t>
      </w:r>
      <w:r>
        <w:t xml:space="preserve">, we thus posit that </w:t>
      </w:r>
      <w:r w:rsidR="00E278CC" w:rsidRPr="00605672">
        <w:t xml:space="preserve">preexisting governance arrangements </w:t>
      </w:r>
      <w:r>
        <w:t xml:space="preserve">encourage </w:t>
      </w:r>
      <w:r w:rsidR="00E278CC" w:rsidRPr="00605672">
        <w:t xml:space="preserve">the supplier to make incremental investments in the reseller relationship. </w:t>
      </w:r>
      <w:r>
        <w:t xml:space="preserve">The </w:t>
      </w:r>
      <w:r w:rsidR="00E278CC" w:rsidRPr="00605672">
        <w:t>predictions in H</w:t>
      </w:r>
      <w:r w:rsidR="00AA5B5D" w:rsidRPr="00727D37">
        <w:rPr>
          <w:vertAlign w:val="subscript"/>
        </w:rPr>
        <w:t>1</w:t>
      </w:r>
      <w:r w:rsidR="00E278CC" w:rsidRPr="00605672">
        <w:t xml:space="preserve"> and H</w:t>
      </w:r>
      <w:r w:rsidR="00AA5B5D" w:rsidRPr="00727D37">
        <w:rPr>
          <w:vertAlign w:val="subscript"/>
        </w:rPr>
        <w:t>2</w:t>
      </w:r>
      <w:r>
        <w:t xml:space="preserve"> are parallel but also </w:t>
      </w:r>
      <w:r w:rsidR="00E278CC" w:rsidRPr="00605672">
        <w:t>conceptual</w:t>
      </w:r>
      <w:r>
        <w:t>ly different</w:t>
      </w:r>
      <w:r w:rsidR="00E278CC" w:rsidRPr="00605672">
        <w:t xml:space="preserve">, </w:t>
      </w:r>
      <w:r>
        <w:t xml:space="preserve">in that they </w:t>
      </w:r>
      <w:r>
        <w:lastRenderedPageBreak/>
        <w:t xml:space="preserve">focus on the </w:t>
      </w:r>
      <w:r w:rsidR="00E278CC" w:rsidRPr="00605672">
        <w:t>supplier</w:t>
      </w:r>
      <w:r>
        <w:t>’s</w:t>
      </w:r>
      <w:r w:rsidR="00E278CC" w:rsidRPr="00605672">
        <w:t xml:space="preserve"> effort or </w:t>
      </w:r>
      <w:r w:rsidR="00AA5B5D" w:rsidRPr="00727D37">
        <w:t>action</w:t>
      </w:r>
      <w:r w:rsidR="00E278CC" w:rsidRPr="00605672">
        <w:t xml:space="preserve"> (selection) </w:t>
      </w:r>
      <w:r>
        <w:t xml:space="preserve">to identify </w:t>
      </w:r>
      <w:r w:rsidR="00E278CC" w:rsidRPr="00605672">
        <w:t xml:space="preserve">the </w:t>
      </w:r>
      <w:r>
        <w:t xml:space="preserve">appropriate </w:t>
      </w:r>
      <w:r w:rsidR="00E278CC" w:rsidRPr="00605672">
        <w:t xml:space="preserve">reseller and ensure the availability of certain abilities, versus the </w:t>
      </w:r>
      <w:r w:rsidR="00AA5B5D" w:rsidRPr="00727D37">
        <w:t>structure</w:t>
      </w:r>
      <w:r w:rsidR="00E278CC" w:rsidRPr="00605672">
        <w:rPr>
          <w:i/>
        </w:rPr>
        <w:t xml:space="preserve"> </w:t>
      </w:r>
      <w:r w:rsidR="00E278CC" w:rsidRPr="00605672">
        <w:t xml:space="preserve">of the relationship (mutual asymmetric investments) </w:t>
      </w:r>
      <w:r>
        <w:t xml:space="preserve">that motivates </w:t>
      </w:r>
      <w:r w:rsidR="00E278CC" w:rsidRPr="00605672">
        <w:t>the reseller. Both</w:t>
      </w:r>
      <w:r>
        <w:t xml:space="preserve"> elements should be able </w:t>
      </w:r>
      <w:r w:rsidR="00E278CC" w:rsidRPr="00605672">
        <w:t xml:space="preserve">to promote supplier incremental investments, as </w:t>
      </w:r>
      <w:r>
        <w:t xml:space="preserve">we predict in </w:t>
      </w:r>
      <w:r w:rsidR="00E278CC" w:rsidRPr="00605672">
        <w:t>H</w:t>
      </w:r>
      <w:r w:rsidR="00AA5B5D" w:rsidRPr="00727D37">
        <w:rPr>
          <w:vertAlign w:val="subscript"/>
        </w:rPr>
        <w:t>1</w:t>
      </w:r>
      <w:r w:rsidR="00E278CC" w:rsidRPr="00605672">
        <w:t xml:space="preserve"> and H</w:t>
      </w:r>
      <w:r w:rsidR="00AA5B5D" w:rsidRPr="00727D37">
        <w:rPr>
          <w:vertAlign w:val="subscript"/>
        </w:rPr>
        <w:t>2</w:t>
      </w:r>
      <w:r w:rsidR="00E278CC" w:rsidRPr="00605672">
        <w:t>.</w:t>
      </w:r>
      <w:r>
        <w:t xml:space="preserve"> In turn, we </w:t>
      </w:r>
      <w:r w:rsidR="00E278CC" w:rsidRPr="00605672">
        <w:t xml:space="preserve">consider the transaction cost </w:t>
      </w:r>
      <w:r w:rsidR="00AA5B5D" w:rsidRPr="00727D37">
        <w:t>consequences</w:t>
      </w:r>
      <w:r w:rsidR="00E278CC" w:rsidRPr="00605672">
        <w:t xml:space="preserve"> of the supplier’s incremental investments, </w:t>
      </w:r>
      <w:r>
        <w:t xml:space="preserve">according to </w:t>
      </w:r>
      <w:r w:rsidR="00E278CC" w:rsidRPr="00605672">
        <w:t xml:space="preserve">whether selection </w:t>
      </w:r>
      <w:r w:rsidR="000D4A15" w:rsidRPr="00605672">
        <w:t xml:space="preserve">efforts </w:t>
      </w:r>
      <w:r w:rsidR="00E278CC" w:rsidRPr="00605672">
        <w:t>and mutual asymmetric investments</w:t>
      </w:r>
      <w:r>
        <w:t xml:space="preserve"> have</w:t>
      </w:r>
      <w:r w:rsidR="00E278CC" w:rsidRPr="00605672">
        <w:t xml:space="preserve"> governance properties and serve as ongoing buffers against efficiency losses. As </w:t>
      </w:r>
      <w:r>
        <w:t>we noted</w:t>
      </w:r>
      <w:r w:rsidR="00E278CC" w:rsidRPr="00605672">
        <w:t xml:space="preserve">, a supplier’s incremental investments can give rise to transaction costs, because the resulting lock-in condition creates vulnerability to the reseller’s actions (Ghosh and John 1999; Williamson 1985). Anderson and Jap (2005, p. 78) go so far as to </w:t>
      </w:r>
      <w:r>
        <w:t xml:space="preserve">call </w:t>
      </w:r>
      <w:r w:rsidR="00E278CC" w:rsidRPr="00605672">
        <w:t xml:space="preserve">specific investments the “poison” that triggers relationship conflict. </w:t>
      </w:r>
      <w:r>
        <w:t xml:space="preserve">We present this effect in </w:t>
      </w:r>
      <w:r w:rsidR="00E278CC" w:rsidRPr="00605672">
        <w:t xml:space="preserve">Figure 1 </w:t>
      </w:r>
      <w:r>
        <w:t xml:space="preserve">as a </w:t>
      </w:r>
      <w:r w:rsidR="00E278CC" w:rsidRPr="00605672">
        <w:t xml:space="preserve">positive relationship between supplier incremental investments and supplier ex post transaction costs. However, to the extent that the supplier has </w:t>
      </w:r>
      <w:r>
        <w:t xml:space="preserve">undertaken </w:t>
      </w:r>
      <w:r w:rsidR="00E278CC" w:rsidRPr="00605672">
        <w:t xml:space="preserve">efforts to select a reseller with appropriate abilities and the initial pattern of mutual investments </w:t>
      </w:r>
      <w:r>
        <w:t xml:space="preserve">motivates the </w:t>
      </w:r>
      <w:r w:rsidR="00E278CC" w:rsidRPr="00605672">
        <w:t xml:space="preserve">reseller </w:t>
      </w:r>
      <w:r>
        <w:t xml:space="preserve">to maintain the </w:t>
      </w:r>
      <w:r w:rsidR="00E278CC" w:rsidRPr="00605672">
        <w:t xml:space="preserve">relationship, the likelihood that the supplier’s incremental investments produce transaction costs </w:t>
      </w:r>
      <w:r>
        <w:t>diminishes</w:t>
      </w:r>
      <w:r w:rsidR="00E278CC" w:rsidRPr="00605672">
        <w:t xml:space="preserve">. </w:t>
      </w:r>
      <w:r>
        <w:t xml:space="preserve">These </w:t>
      </w:r>
      <w:r w:rsidR="00E278CC" w:rsidRPr="00605672">
        <w:t>prior governance arrangements address two distinct sources of supplier ex post transaction costs</w:t>
      </w:r>
      <w:r>
        <w:t xml:space="preserve">: insufficient </w:t>
      </w:r>
      <w:r w:rsidR="00E278CC" w:rsidRPr="00605672">
        <w:t xml:space="preserve">partner ability and motivation, respectively. </w:t>
      </w:r>
      <w:r>
        <w:t xml:space="preserve">Although selection </w:t>
      </w:r>
      <w:r w:rsidR="00E278CC" w:rsidRPr="00605672">
        <w:t xml:space="preserve">efforts </w:t>
      </w:r>
      <w:r>
        <w:t xml:space="preserve">and mutual investments </w:t>
      </w:r>
      <w:r w:rsidR="00E278CC" w:rsidRPr="00605672">
        <w:t xml:space="preserve">are unlikely to eliminate supplier transaction costs </w:t>
      </w:r>
      <w:r>
        <w:t xml:space="preserve">completely </w:t>
      </w:r>
      <w:r w:rsidR="00E278CC" w:rsidRPr="00605672">
        <w:t xml:space="preserve">ex post </w:t>
      </w:r>
      <w:r w:rsidR="00AA5B5D" w:rsidRPr="00605672">
        <w:fldChar w:fldCharType="begin"/>
      </w:r>
      <w:r w:rsidR="00E278CC" w:rsidRPr="00605672">
        <w:instrText xml:space="preserve"> ADDIN EN.CITE &lt;EndNote&gt;&lt;Cite&gt;&lt;Author&gt;Bergen&lt;/Author&gt;&lt;Year&gt;1992&lt;/Year&gt;&lt;RecNum&gt;141&lt;/RecNum&gt;&lt;DisplayText&gt;(Bergen et al. 1992)&lt;/DisplayText&gt;&lt;record&gt;&lt;rec-number&gt;141&lt;/rec-number&gt;&lt;foreign-keys&gt;&lt;key app="EN" db-id="t2p0tr5x5w20erezzpq552rgprxa2092vpvs" timestamp="0"&gt;141&lt;/key&gt;&lt;/foreign-keys&gt;&lt;ref-type name="Journal Article"&gt;17&lt;/ref-type&gt;&lt;contributors&gt;&lt;authors&gt;&lt;author&gt;Bergen, Mark&lt;/author&gt;&lt;author&gt;Dutta, Shantanu&lt;/author&gt;&lt;author&gt;Walker, Orville C., Jr.&lt;/author&gt;&lt;/authors&gt;&lt;/contributors&gt;&lt;titles&gt;&lt;title&gt;Agency Relationships in Marketing: A Review of the Implications and Applications of Agency and Related Theories&lt;/title&gt;&lt;secondary-title&gt;Journal of Marketing&lt;/secondary-title&gt;&lt;alt-title&gt;JMK&lt;/alt-title&gt;&lt;/titles&gt;&lt;periodical&gt;&lt;full-title&gt;Journal of Marketing&lt;/full-title&gt;&lt;/periodical&gt;&lt;pages&gt;1-24&lt;/pages&gt;&lt;volume&gt;56&lt;/volume&gt;&lt;number&gt;3&lt;/number&gt;&lt;keywords&gt;&lt;keyword&gt;Agency theory&lt;/keyword&gt;&lt;keyword&gt;Marketing management&lt;/keyword&gt;&lt;keyword&gt;Principals&lt;/keyword&gt;&lt;keyword&gt;Agents&lt;/keyword&gt;&lt;keyword&gt;Relations&lt;/keyword&gt;&lt;keyword&gt;Statistical analysis&lt;/keyword&gt;&lt;keyword&gt;Models&lt;/keyword&gt;&lt;/keywords&gt;&lt;dates&gt;&lt;year&gt;1992&lt;/year&gt;&lt;/dates&gt;&lt;label&gt;00629829 ProQuest ABI/INFORM (R) Global Edition&lt;/label&gt;&lt;urls&gt;&lt;/urls&gt;&lt;/record&gt;&lt;/Cite&gt;&lt;/EndNote&gt;</w:instrText>
      </w:r>
      <w:r w:rsidR="00AA5B5D" w:rsidRPr="00605672">
        <w:fldChar w:fldCharType="separate"/>
      </w:r>
      <w:r w:rsidR="00E278CC" w:rsidRPr="00605672">
        <w:t>(Bergen, Dutta, and Walker 1992)</w:t>
      </w:r>
      <w:r w:rsidR="00AA5B5D" w:rsidRPr="00605672">
        <w:fldChar w:fldCharType="end"/>
      </w:r>
      <w:r w:rsidR="00E278CC" w:rsidRPr="00605672">
        <w:t xml:space="preserve">, the lock-in problem that follows from incremental investments in specific assets </w:t>
      </w:r>
      <w:r>
        <w:t xml:space="preserve">may </w:t>
      </w:r>
      <w:r w:rsidR="00E278CC" w:rsidRPr="00605672">
        <w:t xml:space="preserve">be </w:t>
      </w:r>
      <w:r>
        <w:t>mitigated</w:t>
      </w:r>
      <w:r w:rsidR="00E278CC" w:rsidRPr="00605672">
        <w:t>.</w:t>
      </w:r>
    </w:p>
    <w:p w14:paraId="5264553E" w14:textId="2845C535" w:rsidR="00E278CC" w:rsidRPr="00605672" w:rsidRDefault="00E278CC" w:rsidP="00E278CC">
      <w:pPr>
        <w:pStyle w:val="NormalFirstline05"/>
        <w:spacing w:before="0"/>
      </w:pPr>
      <w:r w:rsidRPr="00605672">
        <w:t xml:space="preserve">This argument adds a </w:t>
      </w:r>
      <w:r w:rsidR="008E2713" w:rsidRPr="00605672">
        <w:t xml:space="preserve">dynamic </w:t>
      </w:r>
      <w:r w:rsidRPr="00605672">
        <w:t xml:space="preserve">dimension to </w:t>
      </w:r>
      <w:r w:rsidR="00C80B44">
        <w:t xml:space="preserve">the </w:t>
      </w:r>
      <w:r w:rsidRPr="00605672">
        <w:t>standard safeguarding logic</w:t>
      </w:r>
      <w:r w:rsidR="00C80B44">
        <w:t xml:space="preserve"> from TCE</w:t>
      </w:r>
      <w:r w:rsidRPr="00605672">
        <w:t xml:space="preserve">. </w:t>
      </w:r>
      <w:r w:rsidR="00C80B44">
        <w:t>We</w:t>
      </w:r>
      <w:r w:rsidRPr="00605672">
        <w:t xml:space="preserve"> examine whether initial governance arrangements have </w:t>
      </w:r>
      <w:r w:rsidR="00AA5B5D" w:rsidRPr="00727D37">
        <w:t>ongoing</w:t>
      </w:r>
      <w:r w:rsidRPr="00605672">
        <w:t xml:space="preserve"> governance properties, in that they affect transactional outcomes later in the relationship. If so, governance arrangements, once in place, </w:t>
      </w:r>
      <w:r w:rsidR="00C80B44">
        <w:t xml:space="preserve">would </w:t>
      </w:r>
      <w:r w:rsidRPr="00605672">
        <w:t xml:space="preserve">represent “stocks” </w:t>
      </w:r>
      <w:r w:rsidR="00C80B44">
        <w:t xml:space="preserve">with persistence </w:t>
      </w:r>
      <w:r w:rsidRPr="00605672">
        <w:t xml:space="preserve">qualities (Bruderl and Schussler 1990; </w:t>
      </w:r>
      <w:r w:rsidRPr="00605672">
        <w:lastRenderedPageBreak/>
        <w:t xml:space="preserve">Freeman, Carroll, and Hannan 1983). Organizational theories specifically </w:t>
      </w:r>
      <w:r w:rsidR="00C80B44">
        <w:t xml:space="preserve">indicate </w:t>
      </w:r>
      <w:r w:rsidRPr="00605672">
        <w:t xml:space="preserve">that initial structures </w:t>
      </w:r>
      <w:r w:rsidR="00F4729F" w:rsidRPr="00605672">
        <w:t xml:space="preserve">represent sources of efficiency </w:t>
      </w:r>
      <w:r w:rsidRPr="00605672">
        <w:t xml:space="preserve">and </w:t>
      </w:r>
      <w:r w:rsidR="00C80B44">
        <w:t xml:space="preserve">can </w:t>
      </w:r>
      <w:r w:rsidRPr="00605672">
        <w:t xml:space="preserve">serve as buffers against subsequent relationship difficulties (e.g., Fichman and Levinthal 1991). </w:t>
      </w:r>
      <w:r w:rsidR="00C80B44">
        <w:t>H</w:t>
      </w:r>
      <w:r w:rsidRPr="00605672">
        <w:t xml:space="preserve">owever, if a governance arrangement does </w:t>
      </w:r>
      <w:r w:rsidRPr="00605672">
        <w:rPr>
          <w:i/>
        </w:rPr>
        <w:t>not</w:t>
      </w:r>
      <w:r w:rsidRPr="00605672">
        <w:t xml:space="preserve"> exhibit dynamic qualities, it </w:t>
      </w:r>
      <w:r w:rsidR="00C80B44">
        <w:t xml:space="preserve">implies </w:t>
      </w:r>
      <w:r w:rsidRPr="00605672">
        <w:t xml:space="preserve">time-related boundary conditions. From a practical standpoint, continued reliance on </w:t>
      </w:r>
      <w:r w:rsidR="00C80B44">
        <w:t xml:space="preserve">existing </w:t>
      </w:r>
      <w:r w:rsidRPr="00605672">
        <w:t xml:space="preserve">governance arrangements </w:t>
      </w:r>
      <w:r w:rsidR="00C80B44">
        <w:t xml:space="preserve">in these </w:t>
      </w:r>
      <w:r w:rsidRPr="00605672">
        <w:t xml:space="preserve">conditions </w:t>
      </w:r>
      <w:r w:rsidR="00C80B44">
        <w:t xml:space="preserve">increases the </w:t>
      </w:r>
      <w:r w:rsidRPr="00605672">
        <w:t xml:space="preserve">risk for the supplier, </w:t>
      </w:r>
      <w:r w:rsidR="00C80B44">
        <w:t xml:space="preserve">because </w:t>
      </w:r>
      <w:r w:rsidRPr="00605672">
        <w:t xml:space="preserve">its incremental investments are not </w:t>
      </w:r>
      <w:r w:rsidR="00C80B44">
        <w:t xml:space="preserve">protected </w:t>
      </w:r>
      <w:r w:rsidRPr="00605672">
        <w:t>by appropriate</w:t>
      </w:r>
      <w:r w:rsidR="00C80B44">
        <w:t>, up-to-date</w:t>
      </w:r>
      <w:r w:rsidRPr="00605672">
        <w:t xml:space="preserve"> safeguards. We propose:</w:t>
      </w:r>
    </w:p>
    <w:p w14:paraId="6E270CC7" w14:textId="2806307E" w:rsidR="00C80B44" w:rsidRDefault="00E278CC" w:rsidP="00C80B44">
      <w:pPr>
        <w:spacing w:before="120"/>
        <w:ind w:left="1170" w:hanging="436"/>
      </w:pPr>
      <w:r w:rsidRPr="00605672">
        <w:rPr>
          <w:b/>
        </w:rPr>
        <w:t>H3:</w:t>
      </w:r>
      <w:r w:rsidRPr="00605672">
        <w:t xml:space="preserve"> </w:t>
      </w:r>
      <w:r w:rsidR="00C80B44">
        <w:t>Both (a) m</w:t>
      </w:r>
      <w:r w:rsidRPr="00605672">
        <w:t xml:space="preserve">ore stringent initial reseller selection efforts </w:t>
      </w:r>
      <w:r w:rsidR="00C80B44">
        <w:t xml:space="preserve">and (b) greater </w:t>
      </w:r>
      <w:r w:rsidR="00C80B44" w:rsidRPr="00605672">
        <w:t xml:space="preserve">asymmetry in initial mutual investments in the supplier’s favor </w:t>
      </w:r>
      <w:r w:rsidRPr="00605672">
        <w:t>weaken the positive effect of supplier incremental investments on supplier ex post transaction costs.</w:t>
      </w:r>
    </w:p>
    <w:p w14:paraId="6B2225A7" w14:textId="107F2D0A" w:rsidR="00E278CC" w:rsidRPr="00605672" w:rsidRDefault="00E278CC" w:rsidP="00C80B44">
      <w:pPr>
        <w:spacing w:before="120"/>
        <w:ind w:left="1170" w:hanging="436"/>
      </w:pPr>
    </w:p>
    <w:p w14:paraId="51F4ADEA" w14:textId="3AC310F6" w:rsidR="00E278CC" w:rsidRPr="00605672" w:rsidRDefault="00E278CC" w:rsidP="00E278CC">
      <w:pPr>
        <w:spacing w:before="240" w:line="480" w:lineRule="auto"/>
        <w:contextualSpacing/>
        <w:rPr>
          <w:i/>
        </w:rPr>
      </w:pPr>
      <w:r w:rsidRPr="00605672">
        <w:rPr>
          <w:i/>
        </w:rPr>
        <w:t>Joint Effect</w:t>
      </w:r>
      <w:r w:rsidR="00C80B44">
        <w:rPr>
          <w:i/>
        </w:rPr>
        <w:t>s</w:t>
      </w:r>
      <w:r w:rsidRPr="00605672">
        <w:rPr>
          <w:i/>
        </w:rPr>
        <w:t xml:space="preserve"> of Selection </w:t>
      </w:r>
      <w:r w:rsidR="000D4A15" w:rsidRPr="00605672">
        <w:rPr>
          <w:i/>
        </w:rPr>
        <w:t xml:space="preserve">Efforts </w:t>
      </w:r>
      <w:r w:rsidRPr="00605672">
        <w:rPr>
          <w:i/>
        </w:rPr>
        <w:t xml:space="preserve">and Mutual Investments </w:t>
      </w:r>
    </w:p>
    <w:p w14:paraId="2A429531" w14:textId="638952B9" w:rsidR="004A1B6C" w:rsidRDefault="00C80B44" w:rsidP="00727D37">
      <w:pPr>
        <w:spacing w:line="480" w:lineRule="auto"/>
        <w:ind w:firstLine="720"/>
      </w:pPr>
      <w:r>
        <w:t>S</w:t>
      </w:r>
      <w:r w:rsidR="00E278CC" w:rsidRPr="00605672">
        <w:t xml:space="preserve">election </w:t>
      </w:r>
      <w:r w:rsidR="001470C7" w:rsidRPr="00605672">
        <w:t xml:space="preserve">efforts </w:t>
      </w:r>
      <w:r w:rsidR="00E278CC" w:rsidRPr="00605672">
        <w:t xml:space="preserve">and mutual investments possess different properties, and they reflect different theoretical perspectives on relationship governance. </w:t>
      </w:r>
      <w:r>
        <w:t>H</w:t>
      </w:r>
      <w:r w:rsidR="00E278CC" w:rsidRPr="00605672">
        <w:t xml:space="preserve">owever, </w:t>
      </w:r>
      <w:r>
        <w:t xml:space="preserve">some </w:t>
      </w:r>
      <w:r w:rsidR="00E278CC" w:rsidRPr="00605672">
        <w:t xml:space="preserve">evidence </w:t>
      </w:r>
      <w:r>
        <w:t xml:space="preserve">also supports the </w:t>
      </w:r>
      <w:r w:rsidR="00E278CC" w:rsidRPr="00605672">
        <w:t xml:space="preserve">theoretical integration </w:t>
      </w:r>
      <w:r>
        <w:t xml:space="preserve">of </w:t>
      </w:r>
      <w:r w:rsidR="00E278CC" w:rsidRPr="00605672">
        <w:t xml:space="preserve">these perspectives. For </w:t>
      </w:r>
      <w:r>
        <w:t>example</w:t>
      </w:r>
      <w:r w:rsidR="00E278CC" w:rsidRPr="00605672">
        <w:t>, sociologists</w:t>
      </w:r>
      <w:r w:rsidRPr="00C80B44">
        <w:t xml:space="preserve"> </w:t>
      </w:r>
      <w:r>
        <w:t xml:space="preserve">cite </w:t>
      </w:r>
      <w:r w:rsidRPr="00605672">
        <w:t>“mixed courses of action”</w:t>
      </w:r>
      <w:r w:rsidR="00E278CC" w:rsidRPr="00605672">
        <w:t xml:space="preserve"> </w:t>
      </w:r>
      <w:r w:rsidR="00AA5B5D" w:rsidRPr="00605672">
        <w:fldChar w:fldCharType="begin"/>
      </w:r>
      <w:r w:rsidR="00E278CC" w:rsidRPr="00605672">
        <w:instrText xml:space="preserve"> ADDIN EN.CITE &lt;EndNote&gt;&lt;Cite&gt;&lt;Author&gt;Granovetter&lt;/Author&gt;&lt;Year&gt;2005&lt;/Year&gt;&lt;RecNum&gt;1956&lt;/RecNum&gt;&lt;Prefix&gt;e.g.`, &lt;/Prefix&gt;&lt;Suffix&gt;`, p. 35&lt;/Suffix&gt;&lt;DisplayText&gt;(e.g., Granovetter 2005, p. 35)&lt;/DisplayText&gt;&lt;record&gt;&lt;rec-number&gt;1956&lt;/rec-number&gt;&lt;foreign-keys&gt;&lt;key app="EN" db-id="t2p0tr5x5w20erezzpq552rgprxa2092vpvs" timestamp="0"&gt;1956&lt;/key&gt;&lt;/foreign-keys&gt;&lt;ref-type name="Journal Article"&gt;17&lt;/ref-type&gt;&lt;contributors&gt;&lt;authors&gt;&lt;author&gt;Granovetter, Mark&lt;/author&gt;&lt;/authors&gt;&lt;/contributors&gt;&lt;titles&gt;&lt;title&gt;The Impact of Social Structure on Economic Outcomes&lt;/title&gt;&lt;secondary-title&gt;Journal of Economic Perspectives&lt;/secondary-title&gt;&lt;/titles&gt;&lt;periodical&gt;&lt;full-title&gt;Journal of Economic Perspectives&lt;/full-title&gt;&lt;/periodical&gt;&lt;pages&gt;33-50&lt;/pages&gt;&lt;volume&gt;19&lt;/volume&gt;&lt;number&gt;1&lt;/number&gt;&lt;dates&gt;&lt;year&gt;2005&lt;/year&gt;&lt;/dates&gt;&lt;urls&gt;&lt;/urls&gt;&lt;/record&gt;&lt;/Cite&gt;&lt;/EndNote&gt;</w:instrText>
      </w:r>
      <w:r w:rsidR="00AA5B5D" w:rsidRPr="00605672">
        <w:fldChar w:fldCharType="separate"/>
      </w:r>
      <w:r w:rsidR="00E278CC" w:rsidRPr="00605672">
        <w:t>(Granovetter 2005, p. 35)</w:t>
      </w:r>
      <w:r w:rsidR="00AA5B5D" w:rsidRPr="00605672">
        <w:fldChar w:fldCharType="end"/>
      </w:r>
      <w:r w:rsidR="00E278CC" w:rsidRPr="00605672">
        <w:t xml:space="preserve">, </w:t>
      </w:r>
      <w:r>
        <w:t xml:space="preserve">which combine </w:t>
      </w:r>
      <w:r w:rsidR="00E278CC" w:rsidRPr="00605672">
        <w:t xml:space="preserve">different governance arrangements within a single relationship. </w:t>
      </w:r>
      <w:r>
        <w:t>E</w:t>
      </w:r>
      <w:r w:rsidR="00E278CC" w:rsidRPr="00605672">
        <w:t xml:space="preserve">conomists </w:t>
      </w:r>
      <w:r>
        <w:t xml:space="preserve">also </w:t>
      </w:r>
      <w:r w:rsidR="00E278CC" w:rsidRPr="00605672">
        <w:t>have called for theory and evidence regarding governance combinations</w:t>
      </w:r>
      <w:r>
        <w:t xml:space="preserve"> </w:t>
      </w:r>
      <w:r w:rsidR="00AA5B5D" w:rsidRPr="00605672">
        <w:fldChar w:fldCharType="begin"/>
      </w:r>
      <w:r w:rsidRPr="00605672">
        <w:instrText xml:space="preserve"> ADDIN EN.CITE &lt;EndNote&gt;&lt;Cite&gt;&lt;Author&gt;Kreps&lt;/Author&gt;&lt;Year&gt;1997&lt;/Year&gt;&lt;RecNum&gt;1308&lt;/RecNum&gt;&lt;Prefix&gt;e.g.`, &lt;/Prefix&gt;&lt;DisplayText&gt;(e.g., Kreps 1997)&lt;/DisplayText&gt;&lt;record&gt;&lt;rec-number&gt;1308&lt;/rec-number&gt;&lt;foreign-keys&gt;&lt;key app="EN" db-id="t2p0tr5x5w20erezzpq552rgprxa2092vpvs" timestamp="0"&gt;1308&lt;/key&gt;&lt;/foreign-keys&gt;&lt;ref-type name="Journal Article"&gt;17&lt;/ref-type&gt;&lt;contributors&gt;&lt;authors&gt;&lt;author&gt;Kreps, David M.&lt;/author&gt;&lt;/authors&gt;&lt;/contributors&gt;&lt;titles&gt;&lt;title&gt;The Interaction Between Norms and Economic Incentives: Intrinsic Motivation and Extrinsic Incentives&lt;/title&gt;&lt;secondary-title&gt;American Economic Review&lt;/secondary-title&gt;&lt;/titles&gt;&lt;periodical&gt;&lt;full-title&gt;American Economic Review&lt;/full-title&gt;&lt;/periodical&gt;&lt;pages&gt;359-364&lt;/pages&gt;&lt;volume&gt;87&lt;/volume&gt;&lt;number&gt;2&lt;/number&gt;&lt;dates&gt;&lt;year&gt;1997&lt;/year&gt;&lt;/dates&gt;&lt;urls&gt;&lt;/urls&gt;&lt;/record&gt;&lt;/Cite&gt;&lt;/EndNote&gt;</w:instrText>
      </w:r>
      <w:r w:rsidR="00AA5B5D" w:rsidRPr="00605672">
        <w:fldChar w:fldCharType="separate"/>
      </w:r>
      <w:r w:rsidRPr="00605672">
        <w:t>(Kreps 1997)</w:t>
      </w:r>
      <w:r w:rsidR="00AA5B5D" w:rsidRPr="00605672">
        <w:fldChar w:fldCharType="end"/>
      </w:r>
      <w:r w:rsidR="00E278CC" w:rsidRPr="00605672">
        <w:t>.</w:t>
      </w:r>
      <w:r>
        <w:t xml:space="preserve"> </w:t>
      </w:r>
      <w:r w:rsidR="00E278CC" w:rsidRPr="00605672">
        <w:t xml:space="preserve">In response, </w:t>
      </w:r>
      <w:r>
        <w:t xml:space="preserve">and reflecting </w:t>
      </w:r>
      <w:r w:rsidR="00E278CC" w:rsidRPr="00605672">
        <w:t xml:space="preserve">observations of industry practice </w:t>
      </w:r>
      <w:r w:rsidR="00AA5B5D" w:rsidRPr="00605672">
        <w:fldChar w:fldCharType="begin"/>
      </w:r>
      <w:r w:rsidR="00E278CC" w:rsidRPr="00605672">
        <w:instrText xml:space="preserve"> ADDIN EN.CITE &lt;EndNote&gt;&lt;Cite&gt;&lt;Author&gt;Bradach&lt;/Author&gt;&lt;Year&gt;1989&lt;/Year&gt;&lt;RecNum&gt;2269&lt;/RecNum&gt;&lt;Prefix&gt;e.g.`, &lt;/Prefix&gt;&lt;DisplayText&gt;(e.g., Bradach and Eccles 1989)&lt;/DisplayText&gt;&lt;record&gt;&lt;rec-number&gt;2269&lt;/rec-number&gt;&lt;foreign-keys&gt;&lt;key app="EN" db-id="t2p0tr5x5w20erezzpq552rgprxa2092vpvs" timestamp="0"&gt;2269&lt;/key&gt;&lt;/foreign-keys&gt;&lt;ref-type name="Journal Article"&gt;17&lt;/ref-type&gt;&lt;contributors&gt;&lt;authors&gt;&lt;author&gt;Bradach, Jeffrey L.&lt;/author&gt;&lt;author&gt;Eccles, Robert G.&lt;/author&gt;&lt;/authors&gt;&lt;/contributors&gt;&lt;titles&gt;&lt;title&gt;Price, Authority, and Trust: From Ideal Types to Plural Forms&lt;/title&gt;&lt;secondary-title&gt;Annual Review of Sociology&lt;/secondary-title&gt;&lt;/titles&gt;&lt;periodical&gt;&lt;full-title&gt;Annual Review of Sociology&lt;/full-title&gt;&lt;/periodical&gt;&lt;pages&gt;97-118&lt;/pages&gt;&lt;volume&gt;15&lt;/volume&gt;&lt;dates&gt;&lt;year&gt;1989&lt;/year&gt;&lt;/dates&gt;&lt;urls&gt;&lt;/urls&gt;&lt;/record&gt;&lt;/Cite&gt;&lt;/EndNote&gt;</w:instrText>
      </w:r>
      <w:r w:rsidR="00AA5B5D" w:rsidRPr="00605672">
        <w:fldChar w:fldCharType="separate"/>
      </w:r>
      <w:r w:rsidR="00E278CC" w:rsidRPr="00605672">
        <w:t>(Bradach and Eccles 1989)</w:t>
      </w:r>
      <w:r w:rsidR="00AA5B5D" w:rsidRPr="00605672">
        <w:fldChar w:fldCharType="end"/>
      </w:r>
      <w:r w:rsidR="00E278CC" w:rsidRPr="00605672">
        <w:t xml:space="preserve">, studies in marketing </w:t>
      </w:r>
      <w:r w:rsidR="00AA5B5D" w:rsidRPr="00605672">
        <w:fldChar w:fldCharType="begin"/>
      </w:r>
      <w:r w:rsidR="00E278CC" w:rsidRPr="00605672">
        <w:instrText xml:space="preserve"> ADDIN EN.CITE &lt;EndNote&gt;&lt;Cite&gt;&lt;Author&gt;Cannon&lt;/Author&gt;&lt;Year&gt;2000&lt;/Year&gt;&lt;RecNum&gt;382&lt;/RecNum&gt;&lt;DisplayText&gt;(Cannon et al. 2000; Wuyts and Geyskens 2005)&lt;/DisplayText&gt;&lt;record&gt;&lt;rec-number&gt;382&lt;/rec-number&gt;&lt;foreign-keys&gt;&lt;key app="EN" db-id="t2p0tr5x5w20erezzpq552rgprxa2092vpvs" timestamp="0"&gt;382&lt;/key&gt;&lt;/foreign-keys&gt;&lt;ref-type name="Journal Article"&gt;17&lt;/ref-type&gt;&lt;contributors&gt;&lt;authors&gt;&lt;author&gt;Cannon, Joseph P.&lt;/author&gt;&lt;author&gt;Achrol, Ravi S.&lt;/author&gt;&lt;author&gt;Gundlach, Gregory T.&lt;/author&gt;&lt;/authors&gt;&lt;/contributors&gt;&lt;titles&gt;&lt;title&gt;Contracts, Norms, and Plural Form Governance&lt;/title&gt;&lt;secondary-title&gt;Journal of the Academy of Marketing Science&lt;/secondary-title&gt;&lt;/titles&gt;&lt;periodical&gt;&lt;full-title&gt;Journal of the Academy of Marketing Science&lt;/full-title&gt;&lt;/periodical&gt;&lt;pages&gt;180-194&lt;/pages&gt;&lt;volume&gt;28&lt;/volume&gt;&lt;number&gt;2&lt;/number&gt;&lt;dates&gt;&lt;year&gt;2000&lt;/year&gt;&lt;/dates&gt;&lt;urls&gt;&lt;/urls&gt;&lt;/record&gt;&lt;/Cite&gt;&lt;Cite&gt;&lt;Author&gt;Wuyts&lt;/Author&gt;&lt;Year&gt;2005&lt;/Year&gt;&lt;RecNum&gt;2079&lt;/RecNum&gt;&lt;record&gt;&lt;rec-number&gt;2079&lt;/rec-number&gt;&lt;foreign-keys&gt;&lt;key app="EN" db-id="t2p0tr5x5w20erezzpq552rgprxa2092vpvs" timestamp="0"&gt;2079&lt;/key&gt;&lt;/foreign-keys&gt;&lt;ref-type name="Journal Article"&gt;17&lt;/ref-type&gt;&lt;contributors&gt;&lt;authors&gt;&lt;author&gt;Wuyts, Stefan&lt;/author&gt;&lt;author&gt;Geyskens, Inge&lt;/author&gt;&lt;/authors&gt;&lt;/contributors&gt;&lt;titles&gt;&lt;title&gt;The Formation of Buyer–Supplier Relationships: Detailed Contact Drafting and Close Partner Selection&lt;/title&gt;&lt;secondary-title&gt;Journal of Marketing&lt;/secondary-title&gt;&lt;/titles&gt;&lt;periodical&gt;&lt;full-title&gt;Journal of Marketing&lt;/full-title&gt;&lt;/periodical&gt;&lt;pages&gt;103-117&lt;/pages&gt;&lt;volume&gt;69&lt;/volume&gt;&lt;number&gt;4&lt;/number&gt;&lt;dates&gt;&lt;year&gt;2005&lt;/year&gt;&lt;/dates&gt;&lt;urls&gt;&lt;/urls&gt;&lt;/record&gt;&lt;/Cite&gt;&lt;/EndNote&gt;</w:instrText>
      </w:r>
      <w:r w:rsidR="00AA5B5D" w:rsidRPr="00605672">
        <w:fldChar w:fldCharType="separate"/>
      </w:r>
      <w:r w:rsidR="00E278CC" w:rsidRPr="00605672">
        <w:t>(Wuyts and Geyskens 2005)</w:t>
      </w:r>
      <w:r w:rsidR="00AA5B5D" w:rsidRPr="00605672">
        <w:fldChar w:fldCharType="end"/>
      </w:r>
      <w:r w:rsidR="00E278CC" w:rsidRPr="00605672">
        <w:t xml:space="preserve"> and other fields </w:t>
      </w:r>
      <w:r w:rsidR="00AA5B5D" w:rsidRPr="00605672">
        <w:fldChar w:fldCharType="begin"/>
      </w:r>
      <w:r w:rsidR="00E278CC" w:rsidRPr="00605672">
        <w:instrText xml:space="preserve"> ADDIN EN.CITE &lt;EndNote&gt;&lt;Cite&gt;&lt;Author&gt;Lazzarini&lt;/Author&gt;&lt;Year&gt;2004&lt;/Year&gt;&lt;RecNum&gt;1725&lt;/RecNum&gt;&lt;DisplayText&gt;(Lazzarini et al. 2004; Zenger et al. 2002)&lt;/DisplayText&gt;&lt;record&gt;&lt;rec-number&gt;1725&lt;/rec-number&gt;&lt;foreign-keys&gt;&lt;key app="EN" db-id="t2p0tr5x5w20erezzpq552rgprxa2092vpvs" timestamp="0"&gt;1725&lt;/key&gt;&lt;/foreign-keys&gt;&lt;ref-type name="Journal Article"&gt;17&lt;/ref-type&gt;&lt;contributors&gt;&lt;authors&gt;&lt;author&gt;Lazzarini, Sergio G.&lt;/author&gt;&lt;author&gt;Miller, Gary J.&lt;/author&gt;&lt;author&gt;Zenger, Todd R.&lt;/author&gt;&lt;/authors&gt;&lt;/contributors&gt;&lt;titles&gt;&lt;title&gt;Order with Some Law: Complimentarity versus Substitution of Formal and Informal Arrangements&lt;/title&gt;&lt;secondary-title&gt;Journal of Law, Economics, and Organization&lt;/secondary-title&gt;&lt;/titles&gt;&lt;pages&gt;261-298&lt;/pages&gt;&lt;volume&gt;20&lt;/volume&gt;&lt;number&gt;2&lt;/number&gt;&lt;dates&gt;&lt;year&gt;2004&lt;/year&gt;&lt;/dates&gt;&lt;urls&gt;&lt;/urls&gt;&lt;/record&gt;&lt;/Cite&gt;&lt;Cite&gt;&lt;Author&gt;Zenger&lt;/Author&gt;&lt;Year&gt;2002&lt;/Year&gt;&lt;RecNum&gt;2633&lt;/RecNum&gt;&lt;record&gt;&lt;rec-number&gt;2633&lt;/rec-number&gt;&lt;foreign-keys&gt;&lt;key app="EN" db-id="t2p0tr5x5w20erezzpq552rgprxa2092vpvs" timestamp="0"&gt;2633&lt;/key&gt;&lt;/foreign-keys&gt;&lt;ref-type name="Book Section"&gt;5&lt;/ref-type&gt;&lt;contributors&gt;&lt;authors&gt;&lt;author&gt;Zenger, Todd R.&lt;/author&gt;&lt;author&gt;Lazzarini, Sergio G.&lt;/author&gt;&lt;author&gt;Poppo, Laura&lt;/author&gt;&lt;/authors&gt;&lt;secondary-authors&gt;&lt;author&gt;Silverman, Brian&lt;/author&gt;&lt;/secondary-authors&gt;&lt;/contributors&gt;&lt;titles&gt;&lt;title&gt;Informal and Formal Organization in New Institutional Economics&lt;/title&gt;&lt;secondary-title&gt;The New Institutionalism in Strategic Management  (Advances in Strategic Management)&lt;/secondary-title&gt;&lt;/titles&gt;&lt;pages&gt;277-305&lt;/pages&gt;&lt;volume&gt;19&lt;/volume&gt;&lt;dates&gt;&lt;year&gt;2002&lt;/year&gt;&lt;/dates&gt;&lt;publisher&gt;Emerald Group Publishing Limited&lt;/publisher&gt;&lt;urls&gt;&lt;/urls&gt;&lt;/record&gt;&lt;/Cite&gt;&lt;/EndNote&gt;</w:instrText>
      </w:r>
      <w:r w:rsidR="00AA5B5D" w:rsidRPr="00605672">
        <w:fldChar w:fldCharType="separate"/>
      </w:r>
      <w:r w:rsidR="00E278CC" w:rsidRPr="00605672">
        <w:t>(Poppo and Zenger 2002)</w:t>
      </w:r>
      <w:r w:rsidR="00AA5B5D" w:rsidRPr="00605672">
        <w:fldChar w:fldCharType="end"/>
      </w:r>
      <w:r w:rsidR="00E278CC" w:rsidRPr="00605672">
        <w:t xml:space="preserve"> explore the effects of governance combinations. </w:t>
      </w:r>
      <w:r>
        <w:t>The</w:t>
      </w:r>
      <w:r w:rsidR="00E278CC" w:rsidRPr="00605672">
        <w:t xml:space="preserve"> idea that governance combinations </w:t>
      </w:r>
      <w:r>
        <w:t xml:space="preserve">determine </w:t>
      </w:r>
      <w:r w:rsidR="00E278CC" w:rsidRPr="00605672">
        <w:t xml:space="preserve">transactional outcomes </w:t>
      </w:r>
      <w:r>
        <w:t xml:space="preserve">may </w:t>
      </w:r>
      <w:r w:rsidR="00E278CC" w:rsidRPr="00605672">
        <w:t xml:space="preserve">seem intuitive, </w:t>
      </w:r>
      <w:r>
        <w:t xml:space="preserve">yet </w:t>
      </w:r>
      <w:r w:rsidR="00E278CC" w:rsidRPr="00605672">
        <w:t xml:space="preserve">the </w:t>
      </w:r>
      <w:r w:rsidR="00293076" w:rsidRPr="00605672">
        <w:t xml:space="preserve">specific </w:t>
      </w:r>
      <w:r w:rsidR="00E278CC" w:rsidRPr="00605672">
        <w:t xml:space="preserve">theoretical </w:t>
      </w:r>
      <w:r w:rsidR="00293076" w:rsidRPr="00605672">
        <w:t>rationale</w:t>
      </w:r>
      <w:r w:rsidR="00E278CC" w:rsidRPr="00605672">
        <w:t xml:space="preserve"> remains unclear (Cao and Lumineau 2015). We seek to shed light on this question. Specifically, we posit that initial reseller selection efforts and mutual asymmetric investments, in combination, </w:t>
      </w:r>
      <w:r>
        <w:t xml:space="preserve">exert </w:t>
      </w:r>
      <w:r w:rsidR="00E278CC" w:rsidRPr="00605672">
        <w:t>interacti</w:t>
      </w:r>
      <w:r w:rsidR="009B6C9B">
        <w:t>ve</w:t>
      </w:r>
      <w:r w:rsidR="00E278CC" w:rsidRPr="00605672">
        <w:t xml:space="preserve"> effect</w:t>
      </w:r>
      <w:r>
        <w:t>s</w:t>
      </w:r>
      <w:r w:rsidR="00E278CC" w:rsidRPr="00605672">
        <w:t xml:space="preserve"> on transaction costs. </w:t>
      </w:r>
    </w:p>
    <w:p w14:paraId="57624AB2" w14:textId="1F3DD90A" w:rsidR="00E278CC" w:rsidRPr="00605672" w:rsidRDefault="00E278CC" w:rsidP="00E278CC">
      <w:pPr>
        <w:spacing w:line="480" w:lineRule="auto"/>
        <w:ind w:firstLine="720"/>
      </w:pPr>
      <w:r w:rsidRPr="00605672">
        <w:lastRenderedPageBreak/>
        <w:t xml:space="preserve">Recall from our </w:t>
      </w:r>
      <w:r w:rsidR="00C80B44">
        <w:t xml:space="preserve">prior </w:t>
      </w:r>
      <w:r w:rsidRPr="00605672">
        <w:t xml:space="preserve">discussion that mutual asymmetric investments in the supplier’s favor </w:t>
      </w:r>
      <w:r w:rsidR="00C80B44">
        <w:t xml:space="preserve">should </w:t>
      </w:r>
      <w:r w:rsidRPr="00605672">
        <w:t xml:space="preserve">reduce the supplier’s vulnerability to reseller actions (McEvily, Zaheer, </w:t>
      </w:r>
      <w:r w:rsidR="00C80B44">
        <w:t xml:space="preserve">and </w:t>
      </w:r>
      <w:r w:rsidRPr="00605672">
        <w:t xml:space="preserve">Kamal 2017; Telser 1980; Williamson 1983), </w:t>
      </w:r>
      <w:r w:rsidR="00C80B44">
        <w:t xml:space="preserve">because </w:t>
      </w:r>
      <w:r w:rsidRPr="00605672">
        <w:t>the reseller</w:t>
      </w:r>
      <w:r w:rsidR="00C80B44">
        <w:t xml:space="preserve"> is motivated </w:t>
      </w:r>
      <w:r w:rsidRPr="00605672">
        <w:t xml:space="preserve">to maintain the relationship. To the extent that the reseller also possesses the necessary abilities to cooperate and prevent termination, </w:t>
      </w:r>
      <w:r w:rsidR="00C80B44">
        <w:t xml:space="preserve">in line with </w:t>
      </w:r>
      <w:r w:rsidRPr="00605672">
        <w:t>the premise of a self-enforcing agreement (Klein 1996), mutual investments should have the expected (transaction cost</w:t>
      </w:r>
      <w:r w:rsidR="00C80B44">
        <w:t>–</w:t>
      </w:r>
      <w:r w:rsidRPr="00605672">
        <w:t xml:space="preserve">reducing) effect. </w:t>
      </w:r>
      <w:r w:rsidR="00C80B44">
        <w:t xml:space="preserve">However, it is not </w:t>
      </w:r>
      <w:r w:rsidRPr="00605672">
        <w:t>given that all resellers possess the</w:t>
      </w:r>
      <w:r w:rsidR="00C80B44">
        <w:t>se</w:t>
      </w:r>
      <w:r w:rsidRPr="00605672">
        <w:t xml:space="preserve"> necessary abilities (</w:t>
      </w:r>
      <w:r w:rsidR="00FA7FD4" w:rsidRPr="00605672">
        <w:t>Dekker 2008</w:t>
      </w:r>
      <w:r w:rsidRPr="00605672">
        <w:t xml:space="preserve">). </w:t>
      </w:r>
      <w:r w:rsidR="00C80B44">
        <w:t xml:space="preserve">A </w:t>
      </w:r>
      <w:r w:rsidRPr="00605672">
        <w:t xml:space="preserve">poorly qualified reseller </w:t>
      </w:r>
      <w:r w:rsidR="00C80B44">
        <w:t xml:space="preserve">could </w:t>
      </w:r>
      <w:r w:rsidRPr="00605672">
        <w:t>possess a generally cooperative motivation</w:t>
      </w:r>
      <w:r w:rsidR="00C80B44">
        <w:t xml:space="preserve">, in response to </w:t>
      </w:r>
      <w:r w:rsidRPr="00605672">
        <w:t xml:space="preserve">initial investments, </w:t>
      </w:r>
      <w:r w:rsidR="00C80B44">
        <w:t xml:space="preserve">but its </w:t>
      </w:r>
      <w:r w:rsidRPr="00605672">
        <w:t xml:space="preserve">lack of technical skills still </w:t>
      </w:r>
      <w:r w:rsidR="00C80B44">
        <w:t xml:space="preserve">would create </w:t>
      </w:r>
      <w:r w:rsidRPr="00605672">
        <w:t xml:space="preserve">transactional difficulties and require ongoing renegotiations </w:t>
      </w:r>
      <w:r w:rsidR="00C80B44">
        <w:t xml:space="preserve">by </w:t>
      </w:r>
      <w:r w:rsidRPr="00605672">
        <w:t xml:space="preserve">the parties. These arguments </w:t>
      </w:r>
      <w:r w:rsidR="00C80B44">
        <w:t xml:space="preserve">suggest the </w:t>
      </w:r>
      <w:r w:rsidRPr="00605672">
        <w:t>key role of partner selection</w:t>
      </w:r>
      <w:r w:rsidR="00681DB3" w:rsidRPr="00605672">
        <w:t xml:space="preserve"> efforts</w:t>
      </w:r>
      <w:r w:rsidR="00C80B44">
        <w:t xml:space="preserve"> to </w:t>
      </w:r>
      <w:r w:rsidRPr="00605672">
        <w:t>identif</w:t>
      </w:r>
      <w:r w:rsidR="00C80B44">
        <w:t xml:space="preserve">y </w:t>
      </w:r>
      <w:r w:rsidRPr="00605672">
        <w:t>resellers with appropriate abilities</w:t>
      </w:r>
      <w:r w:rsidR="00C80B44">
        <w:t xml:space="preserve"> and that </w:t>
      </w:r>
      <w:r w:rsidRPr="00605672">
        <w:t xml:space="preserve">are in a position to enact the specific behaviors that </w:t>
      </w:r>
      <w:r w:rsidR="00C80B44">
        <w:t xml:space="preserve">can </w:t>
      </w:r>
      <w:r w:rsidRPr="00605672">
        <w:t>ensure relationship continuity.</w:t>
      </w:r>
    </w:p>
    <w:p w14:paraId="70D87CF5" w14:textId="4F47CE4C" w:rsidR="00E278CC" w:rsidRPr="00605672" w:rsidRDefault="00E278CC" w:rsidP="00E278CC">
      <w:pPr>
        <w:spacing w:line="480" w:lineRule="auto"/>
      </w:pPr>
      <w:r w:rsidRPr="00605672">
        <w:tab/>
        <w:t xml:space="preserve">In general, initial reseller selection efforts, whose primary purpose is to ascertain ability, in combination with mutual asymmetric investments, whose primary purpose is to ensure reseller motivation, </w:t>
      </w:r>
      <w:r w:rsidR="00C80B44">
        <w:t xml:space="preserve">should </w:t>
      </w:r>
      <w:r w:rsidRPr="00605672">
        <w:t>further suppress the supplier</w:t>
      </w:r>
      <w:r w:rsidR="00C80B44">
        <w:t>’s</w:t>
      </w:r>
      <w:r w:rsidRPr="00605672">
        <w:t xml:space="preserve"> ex post transaction cost</w:t>
      </w:r>
      <w:r w:rsidR="00C80B44">
        <w:t xml:space="preserve">s due to </w:t>
      </w:r>
      <w:r w:rsidRPr="00605672">
        <w:t>incremental investments (H</w:t>
      </w:r>
      <w:r w:rsidR="00AA5B5D" w:rsidRPr="00727D37">
        <w:rPr>
          <w:vertAlign w:val="subscript"/>
        </w:rPr>
        <w:t>3</w:t>
      </w:r>
      <w:r w:rsidRPr="00605672">
        <w:t xml:space="preserve">). This </w:t>
      </w:r>
      <w:r w:rsidR="00C80B44">
        <w:t xml:space="preserve">prediction </w:t>
      </w:r>
      <w:r w:rsidRPr="00605672">
        <w:t>is consistent with the ability</w:t>
      </w:r>
      <w:r w:rsidR="00C80B44">
        <w:t>–</w:t>
      </w:r>
      <w:r w:rsidRPr="00605672">
        <w:t>motivation framework (Merton 1957) and its central premise that “both firm motivation and ability should be present to affect organization behavior” (Grewal, Comer</w:t>
      </w:r>
      <w:r w:rsidR="00C80B44">
        <w:t>,</w:t>
      </w:r>
      <w:r w:rsidRPr="00605672">
        <w:t xml:space="preserve"> and Mehta 2001, p. 22). As such, the governance benefits of partner selection </w:t>
      </w:r>
      <w:r w:rsidR="00681DB3" w:rsidRPr="00605672">
        <w:t xml:space="preserve">efforts </w:t>
      </w:r>
      <w:r w:rsidRPr="00605672">
        <w:t>are far</w:t>
      </w:r>
      <w:r w:rsidR="00C80B44">
        <w:t xml:space="preserve"> </w:t>
      </w:r>
      <w:r w:rsidRPr="00605672">
        <w:t>reaching and go beyond screening</w:t>
      </w:r>
      <w:r w:rsidR="00C80B44">
        <w:t>, so we predict</w:t>
      </w:r>
      <w:r w:rsidRPr="00605672">
        <w:t>:</w:t>
      </w:r>
    </w:p>
    <w:p w14:paraId="3C3EAB3B" w14:textId="4AC83699" w:rsidR="00E278CC" w:rsidRPr="00605672" w:rsidRDefault="00E278CC" w:rsidP="00C80B44">
      <w:pPr>
        <w:autoSpaceDE w:val="0"/>
        <w:autoSpaceDN w:val="0"/>
        <w:adjustRightInd w:val="0"/>
        <w:ind w:left="1170" w:hanging="450"/>
      </w:pPr>
      <w:r w:rsidRPr="00605672">
        <w:rPr>
          <w:b/>
        </w:rPr>
        <w:t>H</w:t>
      </w:r>
      <w:r w:rsidR="00AA5B5D" w:rsidRPr="00727D37">
        <w:rPr>
          <w:b/>
          <w:vertAlign w:val="subscript"/>
        </w:rPr>
        <w:t>4</w:t>
      </w:r>
      <w:r w:rsidRPr="00605672">
        <w:rPr>
          <w:b/>
        </w:rPr>
        <w:t>:</w:t>
      </w:r>
      <w:r w:rsidRPr="00605672">
        <w:t xml:space="preserve"> More stringent initial reseller selection efforts and greater asymmetry in initial mutual investments in the supplier’s favor jointly weaken the positive relationship between supplier incremental investments and supplier ex post transaction costs. </w:t>
      </w:r>
    </w:p>
    <w:p w14:paraId="4B3BC362" w14:textId="77777777" w:rsidR="00E278CC" w:rsidRPr="00605672" w:rsidRDefault="00E278CC" w:rsidP="00E278CC">
      <w:pPr>
        <w:autoSpaceDE w:val="0"/>
        <w:autoSpaceDN w:val="0"/>
        <w:adjustRightInd w:val="0"/>
        <w:spacing w:line="480" w:lineRule="auto"/>
        <w:ind w:left="2340" w:hanging="1620"/>
      </w:pPr>
    </w:p>
    <w:p w14:paraId="4EC37558" w14:textId="77777777" w:rsidR="00E278CC" w:rsidRPr="00605672" w:rsidRDefault="00E278CC" w:rsidP="00E278CC">
      <w:pPr>
        <w:autoSpaceDE w:val="0"/>
        <w:autoSpaceDN w:val="0"/>
        <w:adjustRightInd w:val="0"/>
        <w:spacing w:line="480" w:lineRule="auto"/>
        <w:rPr>
          <w:i/>
        </w:rPr>
      </w:pPr>
      <w:r w:rsidRPr="00605672">
        <w:rPr>
          <w:i/>
        </w:rPr>
        <w:t>Summary of Hypotheses</w:t>
      </w:r>
    </w:p>
    <w:p w14:paraId="437B1A17" w14:textId="55EAC682" w:rsidR="00E278CC" w:rsidRPr="00605672" w:rsidRDefault="00E278CC" w:rsidP="00E278CC">
      <w:pPr>
        <w:autoSpaceDE w:val="0"/>
        <w:autoSpaceDN w:val="0"/>
        <w:adjustRightInd w:val="0"/>
        <w:spacing w:line="480" w:lineRule="auto"/>
        <w:ind w:firstLine="720"/>
      </w:pPr>
      <w:r w:rsidRPr="00605672">
        <w:lastRenderedPageBreak/>
        <w:t>Our hypotheses are based on the assumption that value</w:t>
      </w:r>
      <w:r w:rsidR="00C80B44">
        <w:t xml:space="preserve"> </w:t>
      </w:r>
      <w:r w:rsidRPr="00605672">
        <w:t xml:space="preserve">creation, broadly speaking, </w:t>
      </w:r>
      <w:r w:rsidR="00C80B44">
        <w:t xml:space="preserve">is </w:t>
      </w:r>
      <w:r w:rsidRPr="00605672">
        <w:t xml:space="preserve">compromised by a lack of reseller ability </w:t>
      </w:r>
      <w:r w:rsidR="00C80B44">
        <w:t xml:space="preserve">or </w:t>
      </w:r>
      <w:r w:rsidRPr="00605672">
        <w:t>motivation. This</w:t>
      </w:r>
      <w:r w:rsidR="00C80B44">
        <w:t xml:space="preserve"> situation </w:t>
      </w:r>
      <w:r w:rsidRPr="00605672">
        <w:t>creates a need for relationship governance</w:t>
      </w:r>
      <w:r w:rsidR="00C80B44">
        <w:t>,</w:t>
      </w:r>
      <w:r w:rsidRPr="00605672">
        <w:t xml:space="preserve"> in the form of partner selection </w:t>
      </w:r>
      <w:r w:rsidR="00D93A48" w:rsidRPr="00605672">
        <w:t xml:space="preserve">efforts </w:t>
      </w:r>
      <w:r w:rsidRPr="00605672">
        <w:t xml:space="preserve">(which ensure reseller ability) and mutual specific investments (which </w:t>
      </w:r>
      <w:r w:rsidR="00C80B44">
        <w:t xml:space="preserve">ensure the </w:t>
      </w:r>
      <w:r w:rsidRPr="00605672">
        <w:t>reseller</w:t>
      </w:r>
      <w:r w:rsidR="00C80B44">
        <w:t>’s</w:t>
      </w:r>
      <w:r w:rsidRPr="00605672">
        <w:t xml:space="preserve"> motivation to maintain the relationship). We expect these governance choices to serve dual roles</w:t>
      </w:r>
      <w:r w:rsidR="00C80B44">
        <w:t>: motivate the</w:t>
      </w:r>
      <w:r w:rsidRPr="00605672">
        <w:t xml:space="preserve"> supplier to make incremental investments (H</w:t>
      </w:r>
      <w:r w:rsidR="00AA5B5D" w:rsidRPr="00727D37">
        <w:rPr>
          <w:vertAlign w:val="subscript"/>
        </w:rPr>
        <w:t>1</w:t>
      </w:r>
      <w:r w:rsidRPr="00605672">
        <w:t xml:space="preserve"> and H</w:t>
      </w:r>
      <w:r w:rsidR="00AA5B5D" w:rsidRPr="00727D37">
        <w:rPr>
          <w:vertAlign w:val="subscript"/>
        </w:rPr>
        <w:t>2</w:t>
      </w:r>
      <w:r w:rsidRPr="00605672">
        <w:t>) and mitigat</w:t>
      </w:r>
      <w:r w:rsidR="00C80B44">
        <w:t>e</w:t>
      </w:r>
      <w:r w:rsidRPr="00605672">
        <w:t xml:space="preserve"> the transaction cost implications of </w:t>
      </w:r>
      <w:r w:rsidR="00C80B44">
        <w:t xml:space="preserve">its </w:t>
      </w:r>
      <w:r w:rsidRPr="00605672">
        <w:t>incremental investments over time (H</w:t>
      </w:r>
      <w:r w:rsidR="00AA5B5D" w:rsidRPr="00727D37">
        <w:rPr>
          <w:vertAlign w:val="subscript"/>
        </w:rPr>
        <w:t>3</w:t>
      </w:r>
      <w:r w:rsidRPr="00605672">
        <w:t xml:space="preserve">). Finally, we expect </w:t>
      </w:r>
      <w:r w:rsidR="00C80B44">
        <w:t xml:space="preserve">their </w:t>
      </w:r>
      <w:r w:rsidRPr="00605672">
        <w:t xml:space="preserve">juxtaposition to have </w:t>
      </w:r>
      <w:r w:rsidR="00C80B44">
        <w:t xml:space="preserve">additional </w:t>
      </w:r>
      <w:r w:rsidRPr="00605672">
        <w:t xml:space="preserve">transaction cost implications, </w:t>
      </w:r>
      <w:r w:rsidR="00C80B44">
        <w:t xml:space="preserve">because </w:t>
      </w:r>
      <w:r w:rsidRPr="00605672">
        <w:t xml:space="preserve">prior selection efforts </w:t>
      </w:r>
      <w:r w:rsidR="00C80B44">
        <w:t xml:space="preserve">can </w:t>
      </w:r>
      <w:r w:rsidRPr="00605672">
        <w:t>reinforce the motivational effect of mutual asymmetric investments (H</w:t>
      </w:r>
      <w:r w:rsidR="00AA5B5D" w:rsidRPr="00727D37">
        <w:rPr>
          <w:vertAlign w:val="subscript"/>
        </w:rPr>
        <w:t>4</w:t>
      </w:r>
      <w:r w:rsidRPr="00605672">
        <w:t xml:space="preserve">). </w:t>
      </w:r>
    </w:p>
    <w:p w14:paraId="218E39E7" w14:textId="77777777" w:rsidR="00FB3B98" w:rsidRPr="00605672" w:rsidRDefault="00825D24" w:rsidP="00FB3B98">
      <w:pPr>
        <w:pStyle w:val="Heading1"/>
        <w:spacing w:before="240"/>
        <w:rPr>
          <w:color w:val="auto"/>
        </w:rPr>
      </w:pPr>
      <w:r w:rsidRPr="00605672">
        <w:rPr>
          <w:color w:val="auto"/>
        </w:rPr>
        <w:t>R</w:t>
      </w:r>
      <w:r w:rsidR="00FB3B98" w:rsidRPr="00605672">
        <w:rPr>
          <w:color w:val="auto"/>
        </w:rPr>
        <w:t>ESEARCH METHOD</w:t>
      </w:r>
      <w:r w:rsidR="006A0367" w:rsidRPr="00605672">
        <w:rPr>
          <w:color w:val="auto"/>
        </w:rPr>
        <w:t xml:space="preserve"> </w:t>
      </w:r>
    </w:p>
    <w:p w14:paraId="68502483" w14:textId="77777777" w:rsidR="00FB3B98" w:rsidRPr="00605672" w:rsidRDefault="00FB3B98" w:rsidP="001F6BE2">
      <w:pPr>
        <w:pStyle w:val="Heading2"/>
        <w:spacing w:before="0" w:after="0"/>
        <w:rPr>
          <w:b/>
          <w:szCs w:val="24"/>
          <w:lang w:val="en-US"/>
        </w:rPr>
      </w:pPr>
      <w:r w:rsidRPr="00605672">
        <w:rPr>
          <w:szCs w:val="24"/>
          <w:lang w:val="en-US"/>
        </w:rPr>
        <w:t>Empirical Context</w:t>
      </w:r>
    </w:p>
    <w:p w14:paraId="6595AE5F" w14:textId="4566D021" w:rsidR="00FB3B98" w:rsidRPr="00605672" w:rsidRDefault="00A07118" w:rsidP="00FB3B98">
      <w:pPr>
        <w:pStyle w:val="Bodytext"/>
        <w:jc w:val="left"/>
        <w:rPr>
          <w:szCs w:val="24"/>
        </w:rPr>
      </w:pPr>
      <w:r>
        <w:t xml:space="preserve">We conducted the </w:t>
      </w:r>
      <w:r w:rsidR="00AB2790" w:rsidRPr="00605672">
        <w:t xml:space="preserve">empirical </w:t>
      </w:r>
      <w:r w:rsidR="00653C45" w:rsidRPr="00605672">
        <w:t>study in the context of a conventional distribution channel involving relationships between manufacturers (suppliers) of building materials and their independent distributors</w:t>
      </w:r>
      <w:r w:rsidR="00BA2383" w:rsidRPr="00605672">
        <w:t xml:space="preserve"> (resellers)</w:t>
      </w:r>
      <w:r w:rsidR="00653C45" w:rsidRPr="00605672">
        <w:t xml:space="preserve">. </w:t>
      </w:r>
      <w:r>
        <w:t xml:space="preserve">This </w:t>
      </w:r>
      <w:r w:rsidR="00FB3B98" w:rsidRPr="00605672">
        <w:t>choice of context reflects two key considerations, namely</w:t>
      </w:r>
      <w:r>
        <w:t>,</w:t>
      </w:r>
      <w:r w:rsidR="00FB3B98" w:rsidRPr="00605672">
        <w:t xml:space="preserve"> achieving sufficient variation </w:t>
      </w:r>
      <w:r>
        <w:t xml:space="preserve">in </w:t>
      </w:r>
      <w:r w:rsidR="00FB3B98" w:rsidRPr="00605672">
        <w:t>the study variables and capturing independent (i.e., non-integrated) supplier</w:t>
      </w:r>
      <w:r>
        <w:t>–</w:t>
      </w:r>
      <w:r w:rsidR="00FB3B98" w:rsidRPr="00605672">
        <w:t xml:space="preserve">reseller relationships. </w:t>
      </w:r>
      <w:r>
        <w:t>E</w:t>
      </w:r>
      <w:r w:rsidR="00FB3B98" w:rsidRPr="00605672">
        <w:t xml:space="preserve">xtensive interviews with suppliers and resellers revealed substantial variation </w:t>
      </w:r>
      <w:r>
        <w:t xml:space="preserve">in </w:t>
      </w:r>
      <w:r w:rsidR="00FB3B98" w:rsidRPr="00605672">
        <w:t>the focal variables. For example, supplier investments range from generic logistic</w:t>
      </w:r>
      <w:r w:rsidR="007538B7" w:rsidRPr="00605672">
        <w:t>s</w:t>
      </w:r>
      <w:r w:rsidR="00FB3B98" w:rsidRPr="00605672">
        <w:t xml:space="preserve"> systems to tailored </w:t>
      </w:r>
      <w:r>
        <w:t xml:space="preserve">systems specific </w:t>
      </w:r>
      <w:r w:rsidR="00FB3B98" w:rsidRPr="00605672">
        <w:t xml:space="preserve">to the requirements of a particular reseller. </w:t>
      </w:r>
      <w:r>
        <w:t xml:space="preserve">In addition, </w:t>
      </w:r>
      <w:r w:rsidR="00FB3B98" w:rsidRPr="00605672">
        <w:t xml:space="preserve">industry statistics show that independent resellers sell more than 75% of building materials. </w:t>
      </w:r>
      <w:r>
        <w:t xml:space="preserve">To confirm the </w:t>
      </w:r>
      <w:r w:rsidR="00FB3B98" w:rsidRPr="00605672">
        <w:t xml:space="preserve">independence </w:t>
      </w:r>
      <w:r>
        <w:t xml:space="preserve">of the </w:t>
      </w:r>
      <w:r w:rsidR="00FB3B98" w:rsidRPr="00605672">
        <w:t xml:space="preserve">parties in question, we </w:t>
      </w:r>
      <w:r>
        <w:t xml:space="preserve">also </w:t>
      </w:r>
      <w:r w:rsidR="00FB3B98" w:rsidRPr="00605672">
        <w:t xml:space="preserve">conducted personal interviews with each potential study participant. The unit of analysis is the relationship between a supplier and </w:t>
      </w:r>
      <w:r w:rsidR="00A34AA7" w:rsidRPr="00605672">
        <w:t xml:space="preserve">a </w:t>
      </w:r>
      <w:r w:rsidR="00FB3B98" w:rsidRPr="00605672">
        <w:t xml:space="preserve">reseller of a particular </w:t>
      </w:r>
      <w:r w:rsidR="00B3303D" w:rsidRPr="00605672">
        <w:t xml:space="preserve">building </w:t>
      </w:r>
      <w:r w:rsidR="00FB3B98" w:rsidRPr="00605672">
        <w:t>product, such as roofing or concrete items.</w:t>
      </w:r>
    </w:p>
    <w:p w14:paraId="3A4F6B39" w14:textId="6C530D1C" w:rsidR="004A1B6C" w:rsidRDefault="00FB3B98" w:rsidP="00727D37">
      <w:pPr>
        <w:pStyle w:val="Bodytext"/>
        <w:jc w:val="left"/>
        <w:rPr>
          <w:szCs w:val="24"/>
        </w:rPr>
      </w:pPr>
      <w:r w:rsidRPr="00605672">
        <w:rPr>
          <w:szCs w:val="24"/>
        </w:rPr>
        <w:lastRenderedPageBreak/>
        <w:t>To separate the measures of our independent variables (</w:t>
      </w:r>
      <w:r w:rsidR="009273DF" w:rsidRPr="00605672">
        <w:rPr>
          <w:szCs w:val="24"/>
        </w:rPr>
        <w:t xml:space="preserve">e.g., </w:t>
      </w:r>
      <w:r w:rsidRPr="00605672">
        <w:rPr>
          <w:szCs w:val="24"/>
        </w:rPr>
        <w:t>governance</w:t>
      </w:r>
      <w:r w:rsidR="0060212F" w:rsidRPr="00605672">
        <w:rPr>
          <w:szCs w:val="24"/>
        </w:rPr>
        <w:t xml:space="preserve"> </w:t>
      </w:r>
      <w:r w:rsidR="00915840" w:rsidRPr="00605672">
        <w:rPr>
          <w:szCs w:val="24"/>
        </w:rPr>
        <w:t>arrangements</w:t>
      </w:r>
      <w:r w:rsidRPr="00605672">
        <w:rPr>
          <w:szCs w:val="24"/>
        </w:rPr>
        <w:t>) from the dependent variable</w:t>
      </w:r>
      <w:r w:rsidR="001A4286" w:rsidRPr="00605672">
        <w:rPr>
          <w:szCs w:val="24"/>
        </w:rPr>
        <w:t>s</w:t>
      </w:r>
      <w:r w:rsidRPr="00605672">
        <w:rPr>
          <w:szCs w:val="24"/>
        </w:rPr>
        <w:t xml:space="preserve"> (</w:t>
      </w:r>
      <w:r w:rsidR="00D46058" w:rsidRPr="00605672">
        <w:rPr>
          <w:szCs w:val="24"/>
        </w:rPr>
        <w:t>e.g.,</w:t>
      </w:r>
      <w:r w:rsidR="009273DF" w:rsidRPr="00605672">
        <w:rPr>
          <w:szCs w:val="24"/>
        </w:rPr>
        <w:t xml:space="preserve"> </w:t>
      </w:r>
      <w:r w:rsidRPr="00605672">
        <w:rPr>
          <w:szCs w:val="24"/>
        </w:rPr>
        <w:t xml:space="preserve">transaction costs) </w:t>
      </w:r>
      <w:r w:rsidR="001A4286" w:rsidRPr="00605672">
        <w:rPr>
          <w:szCs w:val="24"/>
        </w:rPr>
        <w:t xml:space="preserve">and minimize potential method bias, </w:t>
      </w:r>
      <w:r w:rsidRPr="00605672">
        <w:rPr>
          <w:szCs w:val="24"/>
        </w:rPr>
        <w:t>we adopt a longitudinal survey design</w:t>
      </w:r>
      <w:r w:rsidR="00A07118">
        <w:rPr>
          <w:szCs w:val="24"/>
        </w:rPr>
        <w:t>,</w:t>
      </w:r>
      <w:r w:rsidRPr="00605672">
        <w:rPr>
          <w:szCs w:val="24"/>
        </w:rPr>
        <w:t xml:space="preserve"> involving matched supplier</w:t>
      </w:r>
      <w:r w:rsidR="00A07118">
        <w:rPr>
          <w:szCs w:val="24"/>
        </w:rPr>
        <w:t>–</w:t>
      </w:r>
      <w:r w:rsidR="0062623E" w:rsidRPr="00605672">
        <w:rPr>
          <w:szCs w:val="24"/>
        </w:rPr>
        <w:t>reseller</w:t>
      </w:r>
      <w:r w:rsidRPr="00605672">
        <w:rPr>
          <w:szCs w:val="24"/>
        </w:rPr>
        <w:t xml:space="preserve"> dyads. The temporal separation </w:t>
      </w:r>
      <w:r w:rsidR="00A07118">
        <w:rPr>
          <w:szCs w:val="24"/>
        </w:rPr>
        <w:t xml:space="preserve">between the </w:t>
      </w:r>
      <w:r w:rsidRPr="00605672">
        <w:rPr>
          <w:szCs w:val="24"/>
        </w:rPr>
        <w:t>measurement</w:t>
      </w:r>
      <w:r w:rsidR="00A07118">
        <w:rPr>
          <w:szCs w:val="24"/>
        </w:rPr>
        <w:t>s</w:t>
      </w:r>
      <w:r w:rsidRPr="00605672">
        <w:rPr>
          <w:szCs w:val="24"/>
        </w:rPr>
        <w:t xml:space="preserve"> </w:t>
      </w:r>
      <w:r w:rsidR="00A07118">
        <w:rPr>
          <w:szCs w:val="24"/>
        </w:rPr>
        <w:t xml:space="preserve">of </w:t>
      </w:r>
      <w:r w:rsidRPr="00605672">
        <w:rPr>
          <w:szCs w:val="24"/>
        </w:rPr>
        <w:t xml:space="preserve">the independent and dependent variables reduces potential method bias (measurement context effects) that could stem from </w:t>
      </w:r>
      <w:r w:rsidR="00A07118">
        <w:rPr>
          <w:szCs w:val="24"/>
        </w:rPr>
        <w:t xml:space="preserve">assessing </w:t>
      </w:r>
      <w:r w:rsidRPr="00605672">
        <w:rPr>
          <w:szCs w:val="24"/>
        </w:rPr>
        <w:t>both sets of variables at the same time in the same instrument</w:t>
      </w:r>
      <w:r w:rsidR="00AA5B5D" w:rsidRPr="00605672">
        <w:fldChar w:fldCharType="begin"/>
      </w:r>
      <w:r w:rsidRPr="00605672">
        <w:rPr>
          <w:szCs w:val="24"/>
        </w:rPr>
        <w:instrText xml:space="preserve"> ADDIN EN.CITE &lt;EndNote&gt;&lt;Cite&gt;&lt;Author&gt;Podsakoff&lt;/Author&gt;&lt;Year&gt;2003&lt;/Year&gt;&lt;RecNum&gt;1970&lt;/RecNum&gt;&lt;record&gt;&lt;rec-number&gt;1970&lt;/rec-number&gt;&lt;foreign-keys&gt;&lt;key app="EN" db-id="ssraf95pgs2af9erzvi5ztaba2trtwdfwv05"&gt;1970&lt;/key&gt;&lt;/foreign-keys&gt;&lt;ref-type name="Journal Article"&gt;17&lt;/ref-type&gt;&lt;contributors&gt;&lt;authors&gt;&lt;author&gt;Podsakoff, Philip M.&lt;/author&gt;&lt;author&gt;MacKenzie, Scott B.&lt;/author&gt;&lt;author&gt;Lee, Jeong-Yeon&lt;/author&gt;&lt;author&gt;Podsakoff, Nathan P.&lt;/author&gt;&lt;/authors&gt;&lt;/contributors&gt;&lt;titles&gt;&lt;title&gt;Common Method Biases in Behavioral Research: A Critical Review of the Literature and Recommended Remedies&lt;/title&gt;&lt;secondary-title&gt;Journal of Applied Psychology&lt;/secondary-title&gt;&lt;/titles&gt;&lt;pages&gt;879-903&lt;/pages&gt;&lt;volume&gt;88&lt;/volume&gt;&lt;number&gt;5&lt;/number&gt;&lt;dates&gt;&lt;year&gt;2003&lt;/year&gt;&lt;/dates&gt;&lt;urls&gt;&lt;/urls&gt;&lt;/record&gt;&lt;/Cite&gt;&lt;/EndNote&gt;</w:instrText>
      </w:r>
      <w:r w:rsidR="00AA5B5D" w:rsidRPr="00605672">
        <w:fldChar w:fldCharType="end"/>
      </w:r>
      <w:r w:rsidRPr="00605672">
        <w:rPr>
          <w:szCs w:val="24"/>
        </w:rPr>
        <w:t xml:space="preserve">. Collecting data from both the supplier and the reseller further minimizes method bias. Consistent with previous governance research </w:t>
      </w:r>
      <w:r w:rsidR="00AA5B5D" w:rsidRPr="00605672">
        <w:fldChar w:fldCharType="begin"/>
      </w:r>
      <w:r w:rsidRPr="00605672">
        <w:rPr>
          <w:szCs w:val="24"/>
        </w:rPr>
        <w:instrText xml:space="preserve"> ADDIN EN.CITE &lt;EndNote&gt;&lt;Cite&gt;&lt;Author&gt;Nygaard&lt;/Author&gt;&lt;Year&gt;1999&lt;/Year&gt;&lt;RecNum&gt;1110&lt;/RecNum&gt;&lt;Prefix&gt;e.g., &lt;/Prefix&gt;&lt;record&gt;&lt;rec-number&gt;1110&lt;/rec-number&gt;&lt;foreign-keys&gt;&lt;key app="EN" db-id="ssraf95pgs2af9erzvi5ztaba2trtwdfwv05"&gt;1110&lt;/key&gt;&lt;/foreign-keys&gt;&lt;ref-type name="Journal Article"&gt;17&lt;/ref-type&gt;&lt;contributors&gt;&lt;authors&gt;&lt;author&gt;Nygaard, Arne&lt;/author&gt;&lt;author&gt;Dahlstrom, Robert&lt;/author&gt;&lt;/authors&gt;&lt;/contributors&gt;&lt;titles&gt;&lt;title&gt;An Empirical Investigation of Ex Post Transaction Costs in Franchised Distribution Channels&lt;/title&gt;&lt;secondary-title&gt;Journal of Marketing Research&lt;/secondary-title&gt;&lt;/titles&gt;&lt;periodical&gt;&lt;full-title&gt;Journal of Marketing Research&lt;/full-title&gt;&lt;/periodical&gt;&lt;pages&gt;160-170&lt;/pages&gt;&lt;volume&gt;36&lt;/volume&gt;&lt;number&gt;2&lt;/number&gt;&lt;dates&gt;&lt;year&gt;1999&lt;/year&gt;&lt;/dates&gt;&lt;urls&gt;&lt;/urls&gt;&lt;/record&gt;&lt;/Cite&gt;&lt;/EndNote&gt;</w:instrText>
      </w:r>
      <w:r w:rsidR="00AA5B5D" w:rsidRPr="00605672">
        <w:fldChar w:fldCharType="separate"/>
      </w:r>
      <w:r w:rsidRPr="00605672">
        <w:rPr>
          <w:szCs w:val="24"/>
        </w:rPr>
        <w:t>(e.g., Dahlstrom</w:t>
      </w:r>
      <w:r w:rsidR="00A87CB2" w:rsidRPr="00605672">
        <w:rPr>
          <w:szCs w:val="24"/>
        </w:rPr>
        <w:t xml:space="preserve"> and Nygaard</w:t>
      </w:r>
      <w:r w:rsidRPr="00605672">
        <w:rPr>
          <w:szCs w:val="24"/>
        </w:rPr>
        <w:t xml:space="preserve"> 1999)</w:t>
      </w:r>
      <w:r w:rsidR="00AA5B5D" w:rsidRPr="00605672">
        <w:fldChar w:fldCharType="end"/>
      </w:r>
      <w:r w:rsidRPr="00605672">
        <w:rPr>
          <w:szCs w:val="24"/>
        </w:rPr>
        <w:t xml:space="preserve">, we used a three-year lag to </w:t>
      </w:r>
      <w:r w:rsidR="00A07118">
        <w:rPr>
          <w:szCs w:val="24"/>
        </w:rPr>
        <w:t xml:space="preserve">leave sufficient time to </w:t>
      </w:r>
      <w:r w:rsidRPr="00605672">
        <w:rPr>
          <w:szCs w:val="24"/>
        </w:rPr>
        <w:t xml:space="preserve">allow the </w:t>
      </w:r>
      <w:r w:rsidR="000D7EA9" w:rsidRPr="00605672">
        <w:rPr>
          <w:szCs w:val="24"/>
        </w:rPr>
        <w:t>effect</w:t>
      </w:r>
      <w:r w:rsidR="0062623E" w:rsidRPr="00605672">
        <w:rPr>
          <w:szCs w:val="24"/>
        </w:rPr>
        <w:t>s</w:t>
      </w:r>
      <w:r w:rsidR="000D7EA9" w:rsidRPr="00605672">
        <w:rPr>
          <w:szCs w:val="24"/>
        </w:rPr>
        <w:t xml:space="preserve"> of the </w:t>
      </w:r>
      <w:r w:rsidR="0062623E" w:rsidRPr="00605672">
        <w:rPr>
          <w:szCs w:val="24"/>
        </w:rPr>
        <w:t xml:space="preserve">initial </w:t>
      </w:r>
      <w:r w:rsidRPr="00605672">
        <w:rPr>
          <w:szCs w:val="24"/>
        </w:rPr>
        <w:t xml:space="preserve">governance </w:t>
      </w:r>
      <w:r w:rsidR="00B63421" w:rsidRPr="00605672">
        <w:rPr>
          <w:szCs w:val="24"/>
        </w:rPr>
        <w:t>arrangements</w:t>
      </w:r>
      <w:r w:rsidR="00B63421" w:rsidRPr="00605672" w:rsidDel="00B63421">
        <w:rPr>
          <w:szCs w:val="24"/>
        </w:rPr>
        <w:t xml:space="preserve"> </w:t>
      </w:r>
      <w:r w:rsidRPr="00605672">
        <w:rPr>
          <w:szCs w:val="24"/>
        </w:rPr>
        <w:t>to manifest</w:t>
      </w:r>
      <w:r w:rsidR="00066E73" w:rsidRPr="00605672">
        <w:rPr>
          <w:szCs w:val="24"/>
        </w:rPr>
        <w:t xml:space="preserve">. </w:t>
      </w:r>
      <w:r w:rsidR="00A07118">
        <w:rPr>
          <w:szCs w:val="24"/>
        </w:rPr>
        <w:t xml:space="preserve">In turn, we </w:t>
      </w:r>
      <w:r w:rsidRPr="00605672">
        <w:rPr>
          <w:szCs w:val="24"/>
        </w:rPr>
        <w:t xml:space="preserve">examine the relationships </w:t>
      </w:r>
      <w:r w:rsidR="00A07118">
        <w:rPr>
          <w:szCs w:val="24"/>
        </w:rPr>
        <w:t xml:space="preserve">of </w:t>
      </w:r>
      <w:r w:rsidR="00AA5B5D" w:rsidRPr="00727D37">
        <w:rPr>
          <w:szCs w:val="24"/>
        </w:rPr>
        <w:t>ex ante</w:t>
      </w:r>
      <w:r w:rsidRPr="00A07118">
        <w:rPr>
          <w:szCs w:val="24"/>
        </w:rPr>
        <w:t xml:space="preserve"> governance (</w:t>
      </w:r>
      <w:r w:rsidR="008F353B" w:rsidRPr="00A07118">
        <w:rPr>
          <w:szCs w:val="24"/>
        </w:rPr>
        <w:t xml:space="preserve">reseller </w:t>
      </w:r>
      <w:r w:rsidR="00B63421" w:rsidRPr="00A07118">
        <w:rPr>
          <w:szCs w:val="24"/>
        </w:rPr>
        <w:t>selection</w:t>
      </w:r>
      <w:r w:rsidR="008F353B" w:rsidRPr="00A07118">
        <w:rPr>
          <w:szCs w:val="24"/>
        </w:rPr>
        <w:t xml:space="preserve"> efforts</w:t>
      </w:r>
      <w:r w:rsidR="00B63421" w:rsidRPr="00A07118">
        <w:rPr>
          <w:szCs w:val="24"/>
        </w:rPr>
        <w:t xml:space="preserve"> </w:t>
      </w:r>
      <w:r w:rsidRPr="00A07118">
        <w:rPr>
          <w:szCs w:val="24"/>
        </w:rPr>
        <w:t xml:space="preserve">and </w:t>
      </w:r>
      <w:r w:rsidR="00B63421" w:rsidRPr="00A07118">
        <w:rPr>
          <w:szCs w:val="24"/>
        </w:rPr>
        <w:t>mutual</w:t>
      </w:r>
      <w:r w:rsidR="00CC1777" w:rsidRPr="00A07118">
        <w:rPr>
          <w:szCs w:val="24"/>
        </w:rPr>
        <w:t xml:space="preserve"> </w:t>
      </w:r>
      <w:r w:rsidR="00B3303D" w:rsidRPr="00A07118">
        <w:rPr>
          <w:szCs w:val="24"/>
        </w:rPr>
        <w:t xml:space="preserve">asymmetric </w:t>
      </w:r>
      <w:r w:rsidR="000D7EA9" w:rsidRPr="00A07118">
        <w:rPr>
          <w:szCs w:val="24"/>
        </w:rPr>
        <w:t>investments</w:t>
      </w:r>
      <w:r w:rsidRPr="00A07118">
        <w:rPr>
          <w:szCs w:val="24"/>
        </w:rPr>
        <w:t xml:space="preserve">) </w:t>
      </w:r>
      <w:r w:rsidR="00A07118">
        <w:rPr>
          <w:szCs w:val="24"/>
        </w:rPr>
        <w:t xml:space="preserve">with </w:t>
      </w:r>
      <w:r w:rsidR="00AA5B5D" w:rsidRPr="00727D37">
        <w:rPr>
          <w:szCs w:val="24"/>
        </w:rPr>
        <w:t>ex post</w:t>
      </w:r>
      <w:r w:rsidRPr="00A07118">
        <w:rPr>
          <w:szCs w:val="24"/>
        </w:rPr>
        <w:t xml:space="preserve"> outcomes</w:t>
      </w:r>
      <w:r w:rsidRPr="00605672">
        <w:rPr>
          <w:szCs w:val="24"/>
        </w:rPr>
        <w:t xml:space="preserve"> (</w:t>
      </w:r>
      <w:r w:rsidR="0047326D" w:rsidRPr="00605672">
        <w:rPr>
          <w:szCs w:val="24"/>
        </w:rPr>
        <w:t xml:space="preserve">incremental investments </w:t>
      </w:r>
      <w:r w:rsidR="00592613" w:rsidRPr="00605672">
        <w:rPr>
          <w:szCs w:val="24"/>
        </w:rPr>
        <w:t xml:space="preserve">and </w:t>
      </w:r>
      <w:r w:rsidR="00D93A48" w:rsidRPr="00605672">
        <w:rPr>
          <w:szCs w:val="24"/>
        </w:rPr>
        <w:t xml:space="preserve">supplier ex post </w:t>
      </w:r>
      <w:r w:rsidRPr="00605672">
        <w:rPr>
          <w:szCs w:val="24"/>
        </w:rPr>
        <w:t>transaction costs).</w:t>
      </w:r>
      <w:r w:rsidR="003D1A77" w:rsidRPr="00605672">
        <w:rPr>
          <w:szCs w:val="24"/>
        </w:rPr>
        <w:t xml:space="preserve"> </w:t>
      </w:r>
      <w:r w:rsidR="00A07118">
        <w:rPr>
          <w:szCs w:val="24"/>
        </w:rPr>
        <w:t xml:space="preserve">Despite </w:t>
      </w:r>
      <w:r w:rsidRPr="00605672">
        <w:rPr>
          <w:szCs w:val="24"/>
        </w:rPr>
        <w:t xml:space="preserve">many calls in </w:t>
      </w:r>
      <w:r w:rsidR="00A07118">
        <w:rPr>
          <w:szCs w:val="24"/>
        </w:rPr>
        <w:t xml:space="preserve">prior </w:t>
      </w:r>
      <w:r w:rsidRPr="00605672">
        <w:rPr>
          <w:szCs w:val="24"/>
        </w:rPr>
        <w:t>literature for longitudinal studies</w:t>
      </w:r>
      <w:r w:rsidR="00A07118">
        <w:rPr>
          <w:szCs w:val="24"/>
        </w:rPr>
        <w:t>,</w:t>
      </w:r>
      <w:r w:rsidRPr="00605672">
        <w:rPr>
          <w:szCs w:val="24"/>
        </w:rPr>
        <w:t xml:space="preserve"> </w:t>
      </w:r>
      <w:r w:rsidR="00A07118">
        <w:rPr>
          <w:szCs w:val="24"/>
        </w:rPr>
        <w:t xml:space="preserve">which offer </w:t>
      </w:r>
      <w:r w:rsidRPr="00605672">
        <w:rPr>
          <w:szCs w:val="24"/>
        </w:rPr>
        <w:t xml:space="preserve">strong inferential </w:t>
      </w:r>
      <w:r w:rsidR="00A07118">
        <w:rPr>
          <w:szCs w:val="24"/>
        </w:rPr>
        <w:t>benefits</w:t>
      </w:r>
      <w:r w:rsidRPr="00605672">
        <w:rPr>
          <w:szCs w:val="24"/>
        </w:rPr>
        <w:t xml:space="preserve">, such studies are rare due to the </w:t>
      </w:r>
      <w:r w:rsidR="007A74A6" w:rsidRPr="00605672">
        <w:rPr>
          <w:szCs w:val="24"/>
        </w:rPr>
        <w:t>“</w:t>
      </w:r>
      <w:r w:rsidRPr="00605672">
        <w:rPr>
          <w:szCs w:val="24"/>
        </w:rPr>
        <w:t>tremendous difficulty</w:t>
      </w:r>
      <w:r w:rsidR="007A74A6" w:rsidRPr="00605672">
        <w:rPr>
          <w:szCs w:val="24"/>
        </w:rPr>
        <w:t xml:space="preserve">” </w:t>
      </w:r>
      <w:r w:rsidRPr="00605672">
        <w:rPr>
          <w:szCs w:val="24"/>
        </w:rPr>
        <w:t xml:space="preserve">of collecting </w:t>
      </w:r>
      <w:r w:rsidR="007A74A6" w:rsidRPr="00605672">
        <w:rPr>
          <w:szCs w:val="24"/>
        </w:rPr>
        <w:t>“</w:t>
      </w:r>
      <w:r w:rsidRPr="00605672">
        <w:rPr>
          <w:szCs w:val="24"/>
        </w:rPr>
        <w:t>longitudinal data in a dyad-matching survey</w:t>
      </w:r>
      <w:r w:rsidR="007A74A6" w:rsidRPr="00605672">
        <w:rPr>
          <w:szCs w:val="24"/>
        </w:rPr>
        <w:t xml:space="preserve">” </w:t>
      </w:r>
      <w:r w:rsidRPr="00605672">
        <w:rPr>
          <w:szCs w:val="24"/>
        </w:rPr>
        <w:t>(Vosgerau, Anderson</w:t>
      </w:r>
      <w:r w:rsidR="00A07118">
        <w:rPr>
          <w:szCs w:val="24"/>
        </w:rPr>
        <w:t>,</w:t>
      </w:r>
      <w:r w:rsidRPr="00605672">
        <w:rPr>
          <w:szCs w:val="24"/>
        </w:rPr>
        <w:t xml:space="preserve"> and Ross 2008, p. 2</w:t>
      </w:r>
      <w:r w:rsidR="00535A3F" w:rsidRPr="00605672">
        <w:rPr>
          <w:szCs w:val="24"/>
        </w:rPr>
        <w:t>0</w:t>
      </w:r>
      <w:r w:rsidRPr="00605672">
        <w:rPr>
          <w:szCs w:val="24"/>
        </w:rPr>
        <w:t>9).</w:t>
      </w:r>
    </w:p>
    <w:p w14:paraId="13D13517" w14:textId="77777777" w:rsidR="00FB3B98" w:rsidRPr="00605672" w:rsidRDefault="00FB3B98" w:rsidP="00FB3B98">
      <w:pPr>
        <w:pStyle w:val="Heading2"/>
        <w:spacing w:after="0"/>
        <w:rPr>
          <w:b/>
          <w:szCs w:val="24"/>
          <w:lang w:val="en-US"/>
        </w:rPr>
      </w:pPr>
      <w:r w:rsidRPr="00605672">
        <w:rPr>
          <w:szCs w:val="24"/>
          <w:lang w:val="en-US"/>
        </w:rPr>
        <w:t>Data Collection</w:t>
      </w:r>
    </w:p>
    <w:p w14:paraId="625F1CE5" w14:textId="4A4EF1D9" w:rsidR="00FB3B98" w:rsidRPr="00605672" w:rsidRDefault="00A07118" w:rsidP="00FB3B98">
      <w:pPr>
        <w:pStyle w:val="Bodytext"/>
        <w:jc w:val="left"/>
        <w:rPr>
          <w:szCs w:val="24"/>
        </w:rPr>
      </w:pPr>
      <w:r>
        <w:rPr>
          <w:szCs w:val="24"/>
        </w:rPr>
        <w:t xml:space="preserve">Considering </w:t>
      </w:r>
      <w:r w:rsidR="00FB3B98" w:rsidRPr="00605672">
        <w:rPr>
          <w:szCs w:val="24"/>
        </w:rPr>
        <w:t>the lack of readily available</w:t>
      </w:r>
      <w:r>
        <w:rPr>
          <w:szCs w:val="24"/>
        </w:rPr>
        <w:t>,</w:t>
      </w:r>
      <w:r w:rsidR="00FB3B98" w:rsidRPr="00605672">
        <w:rPr>
          <w:szCs w:val="24"/>
        </w:rPr>
        <w:t xml:space="preserve"> valid</w:t>
      </w:r>
      <w:r>
        <w:rPr>
          <w:szCs w:val="24"/>
        </w:rPr>
        <w:t>,</w:t>
      </w:r>
      <w:r w:rsidR="00FB3B98" w:rsidRPr="00605672">
        <w:rPr>
          <w:i/>
          <w:szCs w:val="24"/>
        </w:rPr>
        <w:t xml:space="preserve"> </w:t>
      </w:r>
      <w:r w:rsidR="00FB3B98" w:rsidRPr="00605672">
        <w:rPr>
          <w:szCs w:val="24"/>
        </w:rPr>
        <w:t xml:space="preserve">secondary measures of our focal constructs (Mayer 2009), we collected primary data through surveys of key informants. The sampling frame was a national mailing list containing names of managers of independent suppliers of building materials. Initially, </w:t>
      </w:r>
      <w:r>
        <w:rPr>
          <w:szCs w:val="24"/>
        </w:rPr>
        <w:t xml:space="preserve">we drew </w:t>
      </w:r>
      <w:r w:rsidR="00FB3B98" w:rsidRPr="00605672">
        <w:rPr>
          <w:szCs w:val="24"/>
        </w:rPr>
        <w:t>a random sample of 1</w:t>
      </w:r>
      <w:r>
        <w:rPr>
          <w:szCs w:val="24"/>
        </w:rPr>
        <w:t>,</w:t>
      </w:r>
      <w:r w:rsidR="00FB3B98" w:rsidRPr="00605672">
        <w:rPr>
          <w:szCs w:val="24"/>
        </w:rPr>
        <w:t>300 names from the list</w:t>
      </w:r>
      <w:r>
        <w:rPr>
          <w:szCs w:val="24"/>
        </w:rPr>
        <w:t xml:space="preserve"> and contacted e</w:t>
      </w:r>
      <w:r w:rsidR="00FB3B98" w:rsidRPr="00605672">
        <w:rPr>
          <w:szCs w:val="24"/>
        </w:rPr>
        <w:t xml:space="preserve">ach manager by telephone to identify a suitable key informant. These presurvey </w:t>
      </w:r>
      <w:r>
        <w:rPr>
          <w:szCs w:val="24"/>
        </w:rPr>
        <w:t>tele</w:t>
      </w:r>
      <w:r w:rsidR="00FB3B98" w:rsidRPr="00605672">
        <w:rPr>
          <w:szCs w:val="24"/>
        </w:rPr>
        <w:t xml:space="preserve">phone contacts enabled us to locate 550 managers who met </w:t>
      </w:r>
      <w:r w:rsidR="007E6866" w:rsidRPr="00605672">
        <w:rPr>
          <w:szCs w:val="24"/>
        </w:rPr>
        <w:t xml:space="preserve">the </w:t>
      </w:r>
      <w:r w:rsidR="00FB3B98" w:rsidRPr="00605672">
        <w:rPr>
          <w:szCs w:val="24"/>
        </w:rPr>
        <w:t xml:space="preserve">criteria of being knowledgeable and willing to communicate with </w:t>
      </w:r>
      <w:r w:rsidR="009B6C9B">
        <w:rPr>
          <w:szCs w:val="24"/>
        </w:rPr>
        <w:t xml:space="preserve">a </w:t>
      </w:r>
      <w:r w:rsidR="00FB3B98" w:rsidRPr="00605672">
        <w:rPr>
          <w:szCs w:val="24"/>
        </w:rPr>
        <w:t xml:space="preserve">researcher, and </w:t>
      </w:r>
      <w:r>
        <w:rPr>
          <w:szCs w:val="24"/>
        </w:rPr>
        <w:t>who</w:t>
      </w:r>
      <w:r w:rsidR="00FB3B98" w:rsidRPr="00605672">
        <w:rPr>
          <w:szCs w:val="24"/>
        </w:rPr>
        <w:t xml:space="preserve"> represented companies judged appropriate for the study</w:t>
      </w:r>
      <w:r>
        <w:rPr>
          <w:szCs w:val="24"/>
        </w:rPr>
        <w:t>, though</w:t>
      </w:r>
      <w:r w:rsidR="00FB3B98" w:rsidRPr="00605672">
        <w:rPr>
          <w:szCs w:val="24"/>
        </w:rPr>
        <w:t xml:space="preserve"> </w:t>
      </w:r>
      <w:r w:rsidR="00A65A03" w:rsidRPr="00605672">
        <w:rPr>
          <w:szCs w:val="24"/>
        </w:rPr>
        <w:t xml:space="preserve">150 managers declined to participate. </w:t>
      </w:r>
      <w:r w:rsidR="00FB3B98" w:rsidRPr="00605672">
        <w:rPr>
          <w:szCs w:val="24"/>
        </w:rPr>
        <w:t xml:space="preserve">Each key </w:t>
      </w:r>
      <w:r w:rsidR="00FB3B98" w:rsidRPr="00605672">
        <w:rPr>
          <w:szCs w:val="24"/>
        </w:rPr>
        <w:lastRenderedPageBreak/>
        <w:t xml:space="preserve">informant who agreed to participate </w:t>
      </w:r>
      <w:r>
        <w:rPr>
          <w:szCs w:val="24"/>
        </w:rPr>
        <w:t xml:space="preserve">received a </w:t>
      </w:r>
      <w:r w:rsidR="00FB3B98" w:rsidRPr="00605672">
        <w:rPr>
          <w:szCs w:val="24"/>
        </w:rPr>
        <w:t>mailed questionnaire packet</w:t>
      </w:r>
      <w:r>
        <w:rPr>
          <w:szCs w:val="24"/>
        </w:rPr>
        <w:t>,</w:t>
      </w:r>
      <w:r w:rsidR="00FB3B98" w:rsidRPr="00605672">
        <w:rPr>
          <w:szCs w:val="24"/>
        </w:rPr>
        <w:t xml:space="preserve"> including a cover letter, prepaid envelope, and the questionnaire itself. </w:t>
      </w:r>
      <w:r>
        <w:rPr>
          <w:szCs w:val="24"/>
        </w:rPr>
        <w:t xml:space="preserve">To </w:t>
      </w:r>
      <w:r w:rsidR="00FB3B98" w:rsidRPr="00605672">
        <w:rPr>
          <w:szCs w:val="24"/>
        </w:rPr>
        <w:t xml:space="preserve">maximize response rates and ensure a sufficiently large pool of informants </w:t>
      </w:r>
      <w:r w:rsidR="005925B7" w:rsidRPr="00605672">
        <w:rPr>
          <w:szCs w:val="24"/>
        </w:rPr>
        <w:t>for the</w:t>
      </w:r>
      <w:r w:rsidR="00FF201D" w:rsidRPr="00605672">
        <w:rPr>
          <w:szCs w:val="24"/>
        </w:rPr>
        <w:t xml:space="preserve"> second </w:t>
      </w:r>
      <w:r w:rsidR="005925B7" w:rsidRPr="00605672">
        <w:rPr>
          <w:szCs w:val="24"/>
        </w:rPr>
        <w:t>wave</w:t>
      </w:r>
      <w:r w:rsidR="00FF201D" w:rsidRPr="00605672">
        <w:rPr>
          <w:szCs w:val="24"/>
        </w:rPr>
        <w:t xml:space="preserve"> of data collection (</w:t>
      </w:r>
      <w:r w:rsidR="00FB3B98" w:rsidRPr="00605672">
        <w:rPr>
          <w:szCs w:val="24"/>
        </w:rPr>
        <w:t>time 2</w:t>
      </w:r>
      <w:r w:rsidR="00FF201D" w:rsidRPr="00605672">
        <w:rPr>
          <w:szCs w:val="24"/>
        </w:rPr>
        <w:t>)</w:t>
      </w:r>
      <w:r w:rsidR="00FB3B98" w:rsidRPr="00605672">
        <w:rPr>
          <w:szCs w:val="24"/>
        </w:rPr>
        <w:t>, we offered each informant the opportunity to participate in a telephone interview that paralleled the survey.</w:t>
      </w:r>
      <w:r w:rsidR="002C2A1F">
        <w:rPr>
          <w:szCs w:val="24"/>
        </w:rPr>
        <w:t xml:space="preserve"> We </w:t>
      </w:r>
      <w:r w:rsidR="00FB3B98" w:rsidRPr="00605672">
        <w:rPr>
          <w:szCs w:val="24"/>
        </w:rPr>
        <w:t>asked the</w:t>
      </w:r>
      <w:r>
        <w:rPr>
          <w:szCs w:val="24"/>
        </w:rPr>
        <w:t>se</w:t>
      </w:r>
      <w:r w:rsidR="00FB3B98" w:rsidRPr="00605672">
        <w:rPr>
          <w:szCs w:val="24"/>
        </w:rPr>
        <w:t xml:space="preserve"> managers to select and describe a particular relationship in which the exchange partner was the third largest reseller of a </w:t>
      </w:r>
      <w:r w:rsidR="00073AB9" w:rsidRPr="00605672">
        <w:rPr>
          <w:szCs w:val="24"/>
        </w:rPr>
        <w:t>certain</w:t>
      </w:r>
      <w:r w:rsidR="00FB3B98" w:rsidRPr="00605672">
        <w:rPr>
          <w:szCs w:val="24"/>
        </w:rPr>
        <w:t xml:space="preserve"> product (annual sales). </w:t>
      </w:r>
      <w:r>
        <w:rPr>
          <w:szCs w:val="24"/>
        </w:rPr>
        <w:t xml:space="preserve">Thus we </w:t>
      </w:r>
      <w:r w:rsidR="00FB3B98" w:rsidRPr="00605672">
        <w:rPr>
          <w:szCs w:val="24"/>
        </w:rPr>
        <w:t xml:space="preserve">avoid the risk of self-selection and ensure that the relationships </w:t>
      </w:r>
      <w:r>
        <w:rPr>
          <w:szCs w:val="24"/>
        </w:rPr>
        <w:t xml:space="preserve">are </w:t>
      </w:r>
      <w:r w:rsidR="00FB3B98" w:rsidRPr="00605672">
        <w:rPr>
          <w:szCs w:val="24"/>
        </w:rPr>
        <w:t xml:space="preserve">important enough to be salient to the informants </w:t>
      </w:r>
      <w:r w:rsidR="00AA5B5D" w:rsidRPr="00605672">
        <w:rPr>
          <w:szCs w:val="24"/>
        </w:rPr>
        <w:fldChar w:fldCharType="begin"/>
      </w:r>
      <w:r w:rsidR="00FB3B98" w:rsidRPr="00605672">
        <w:rPr>
          <w:szCs w:val="24"/>
        </w:rPr>
        <w:instrText xml:space="preserve"> ADDIN EN.CITE &lt;EndNote&gt;&lt;Cite&gt;&lt;Author&gt;Anderson&lt;/Author&gt;&lt;Year&gt;1990&lt;/Year&gt;&lt;RecNum&gt;198&lt;/RecNum&gt;&lt;record&gt;&lt;rec-number&gt;198&lt;/rec-number&gt;&lt;foreign-keys&gt;&lt;key app="EN" db-id="ssraf95pgs2af9erzvi5ztaba2trtwdfwv05"&gt;198&lt;/key&gt;&lt;/foreign-keys&gt;&lt;ref-type name="Journal Article"&gt;17&lt;/ref-type&gt;&lt;contributors&gt;&lt;authors&gt;&lt;author&gt;Anderson, James C.&lt;/author&gt;&lt;author&gt;Narus, James A.&lt;/author&gt;&lt;/authors&gt;&lt;/contributors&gt;&lt;titles&gt;&lt;title&gt;A Model of Distributor Firm and Manufacturer Firm Working Partnerships&lt;/title&gt;&lt;secondary-title&gt;Journal of Marketing&lt;/secondary-title&gt;&lt;alt-title&gt;JMK&lt;/alt-title&gt;&lt;/titles&gt;&lt;periodical&gt;&lt;full-title&gt;Journal of Marketing&lt;/full-title&gt;&lt;/periodical&gt;&lt;pages&gt;42-58&lt;/pages&gt;&lt;volume&gt;54&lt;/volume&gt;&lt;number&gt;1&lt;/number&gt;&lt;keywords&gt;&lt;keyword&gt;Distributors&lt;/keyword&gt;&lt;keyword&gt;Manufacturers&lt;/keyword&gt;&lt;keyword&gt;Working&lt;/keyword&gt;&lt;keyword&gt;Partnerships&lt;/keyword&gt;&lt;keyword&gt;Models&lt;/keyword&gt;&lt;keyword&gt;Organizational structure&lt;/keyword&gt;&lt;keyword&gt;Market research&lt;/keyword&gt;&lt;keyword&gt;Interviews&lt;/keyword&gt;&lt;keyword&gt;Managers&lt;/keyword&gt;&lt;keyword&gt;Implications&lt;/keyword&gt;&lt;keyword&gt;Marketing&lt;/keyword&gt;&lt;keyword&gt;Theory&lt;/keyword&gt;&lt;keyword&gt;Statistical analysis&lt;/keyword&gt;&lt;keyword&gt;Studies&lt;/keyword&gt;&lt;/keywords&gt;&lt;dates&gt;&lt;year&gt;1990&lt;/year&gt;&lt;/dates&gt;&lt;label&gt;00483696 ProQuest ABI/INFORM (R) Global Edition&lt;/label&gt;&lt;urls&gt;&lt;/urls&gt;&lt;/record&gt;&lt;/Cite&gt;&lt;/EndNote&gt;</w:instrText>
      </w:r>
      <w:r w:rsidR="00AA5B5D" w:rsidRPr="00605672">
        <w:rPr>
          <w:szCs w:val="24"/>
        </w:rPr>
        <w:fldChar w:fldCharType="separate"/>
      </w:r>
      <w:r w:rsidR="00FB3B98" w:rsidRPr="00605672">
        <w:rPr>
          <w:szCs w:val="24"/>
        </w:rPr>
        <w:t>(Anderson and Narus 1990)</w:t>
      </w:r>
      <w:r w:rsidR="00AA5B5D" w:rsidRPr="00605672">
        <w:rPr>
          <w:szCs w:val="24"/>
        </w:rPr>
        <w:fldChar w:fldCharType="end"/>
      </w:r>
      <w:r w:rsidR="00FB3B98" w:rsidRPr="00605672">
        <w:rPr>
          <w:szCs w:val="24"/>
        </w:rPr>
        <w:t>.</w:t>
      </w:r>
      <w:r>
        <w:rPr>
          <w:szCs w:val="24"/>
        </w:rPr>
        <w:t xml:space="preserve"> </w:t>
      </w:r>
    </w:p>
    <w:p w14:paraId="75E47633" w14:textId="00F4B90F" w:rsidR="00FB3B98" w:rsidRPr="00605672" w:rsidRDefault="00FB3B98" w:rsidP="00FB3B98">
      <w:pPr>
        <w:pStyle w:val="Bodytext"/>
        <w:jc w:val="left"/>
        <w:rPr>
          <w:szCs w:val="24"/>
        </w:rPr>
      </w:pPr>
      <w:r w:rsidRPr="00605672">
        <w:rPr>
          <w:szCs w:val="24"/>
        </w:rPr>
        <w:t xml:space="preserve">In </w:t>
      </w:r>
      <w:r w:rsidR="002C2A1F">
        <w:rPr>
          <w:szCs w:val="24"/>
        </w:rPr>
        <w:t>the first data collection wave (time 1)</w:t>
      </w:r>
      <w:r w:rsidRPr="00605672">
        <w:rPr>
          <w:szCs w:val="24"/>
        </w:rPr>
        <w:t xml:space="preserve">, </w:t>
      </w:r>
      <w:r w:rsidR="002C2A1F">
        <w:rPr>
          <w:szCs w:val="24"/>
        </w:rPr>
        <w:t xml:space="preserve">we obtained </w:t>
      </w:r>
      <w:r w:rsidRPr="00605672">
        <w:rPr>
          <w:szCs w:val="24"/>
        </w:rPr>
        <w:t xml:space="preserve">342 </w:t>
      </w:r>
      <w:r w:rsidR="002C2A1F">
        <w:rPr>
          <w:szCs w:val="24"/>
        </w:rPr>
        <w:t xml:space="preserve">completed </w:t>
      </w:r>
      <w:r w:rsidRPr="00605672">
        <w:rPr>
          <w:szCs w:val="24"/>
        </w:rPr>
        <w:t>questionnaires (</w:t>
      </w:r>
      <w:r w:rsidR="00A65A03" w:rsidRPr="00605672">
        <w:rPr>
          <w:szCs w:val="24"/>
        </w:rPr>
        <w:t>47</w:t>
      </w:r>
      <w:r w:rsidR="0076136B" w:rsidRPr="00605672">
        <w:rPr>
          <w:szCs w:val="24"/>
        </w:rPr>
        <w:t>% of</w:t>
      </w:r>
      <w:r w:rsidR="000C6FA2" w:rsidRPr="00605672">
        <w:rPr>
          <w:szCs w:val="24"/>
        </w:rPr>
        <w:t xml:space="preserve"> the</w:t>
      </w:r>
      <w:r w:rsidR="0076136B" w:rsidRPr="00605672">
        <w:rPr>
          <w:szCs w:val="24"/>
        </w:rPr>
        <w:t xml:space="preserve"> </w:t>
      </w:r>
      <w:r w:rsidR="002C2A1F">
        <w:rPr>
          <w:szCs w:val="24"/>
        </w:rPr>
        <w:t xml:space="preserve">sample of </w:t>
      </w:r>
      <w:r w:rsidR="00A65A03" w:rsidRPr="00605672">
        <w:rPr>
          <w:szCs w:val="24"/>
        </w:rPr>
        <w:t>700</w:t>
      </w:r>
      <w:bookmarkStart w:id="3" w:name="_GoBack"/>
      <w:bookmarkEnd w:id="3"/>
      <w:r w:rsidRPr="00605672">
        <w:rPr>
          <w:szCs w:val="24"/>
        </w:rPr>
        <w:t xml:space="preserve">). To </w:t>
      </w:r>
      <w:r w:rsidR="002C2A1F">
        <w:rPr>
          <w:szCs w:val="24"/>
        </w:rPr>
        <w:t xml:space="preserve">check </w:t>
      </w:r>
      <w:r w:rsidR="00BA75AC" w:rsidRPr="00605672">
        <w:rPr>
          <w:szCs w:val="24"/>
        </w:rPr>
        <w:t>for</w:t>
      </w:r>
      <w:r w:rsidRPr="00605672">
        <w:rPr>
          <w:szCs w:val="24"/>
        </w:rPr>
        <w:t xml:space="preserve"> systematic differences between questionnaires administered by telephone (n</w:t>
      </w:r>
      <w:r w:rsidR="002C2A1F">
        <w:rPr>
          <w:szCs w:val="24"/>
        </w:rPr>
        <w:t xml:space="preserve"> </w:t>
      </w:r>
      <w:r w:rsidRPr="00605672">
        <w:rPr>
          <w:szCs w:val="24"/>
        </w:rPr>
        <w:t>=</w:t>
      </w:r>
      <w:r w:rsidR="002C2A1F">
        <w:rPr>
          <w:szCs w:val="24"/>
        </w:rPr>
        <w:t xml:space="preserve"> </w:t>
      </w:r>
      <w:r w:rsidRPr="00605672">
        <w:rPr>
          <w:szCs w:val="24"/>
        </w:rPr>
        <w:t>129) and mail (n</w:t>
      </w:r>
      <w:r w:rsidR="002C2A1F">
        <w:rPr>
          <w:szCs w:val="24"/>
        </w:rPr>
        <w:t xml:space="preserve"> </w:t>
      </w:r>
      <w:r w:rsidRPr="00605672">
        <w:rPr>
          <w:szCs w:val="24"/>
        </w:rPr>
        <w:t>=</w:t>
      </w:r>
      <w:r w:rsidR="002C2A1F">
        <w:rPr>
          <w:szCs w:val="24"/>
        </w:rPr>
        <w:t xml:space="preserve"> </w:t>
      </w:r>
      <w:r w:rsidRPr="00605672">
        <w:rPr>
          <w:szCs w:val="24"/>
        </w:rPr>
        <w:t xml:space="preserve">213), we test </w:t>
      </w:r>
      <w:r w:rsidR="00BA75AC" w:rsidRPr="00605672">
        <w:rPr>
          <w:szCs w:val="24"/>
        </w:rPr>
        <w:t xml:space="preserve">a </w:t>
      </w:r>
      <w:r w:rsidRPr="00605672">
        <w:rPr>
          <w:szCs w:val="24"/>
        </w:rPr>
        <w:t>null hypothesis of no mean differences between the two groups with respect to our study variables.</w:t>
      </w:r>
      <w:r w:rsidR="000C6FA2" w:rsidRPr="00605672">
        <w:rPr>
          <w:szCs w:val="24"/>
        </w:rPr>
        <w:t xml:space="preserve"> </w:t>
      </w:r>
      <w:r w:rsidR="00BA75AC" w:rsidRPr="00605672">
        <w:rPr>
          <w:szCs w:val="24"/>
        </w:rPr>
        <w:t xml:space="preserve">We </w:t>
      </w:r>
      <w:r w:rsidR="002C2A1F">
        <w:rPr>
          <w:szCs w:val="24"/>
        </w:rPr>
        <w:t xml:space="preserve">find </w:t>
      </w:r>
      <w:r w:rsidR="00BA75AC" w:rsidRPr="00605672">
        <w:rPr>
          <w:szCs w:val="24"/>
        </w:rPr>
        <w:t>n</w:t>
      </w:r>
      <w:r w:rsidRPr="00605672">
        <w:rPr>
          <w:szCs w:val="24"/>
        </w:rPr>
        <w:t>o significant differences except for reseller investments (</w:t>
      </w:r>
      <w:r w:rsidRPr="00605672">
        <w:rPr>
          <w:i/>
          <w:szCs w:val="24"/>
        </w:rPr>
        <w:t xml:space="preserve">p </w:t>
      </w:r>
      <w:r w:rsidRPr="00605672">
        <w:rPr>
          <w:szCs w:val="24"/>
        </w:rPr>
        <w:t>&lt;</w:t>
      </w:r>
      <w:r w:rsidR="002C2A1F">
        <w:rPr>
          <w:szCs w:val="24"/>
        </w:rPr>
        <w:t xml:space="preserve"> </w:t>
      </w:r>
      <w:r w:rsidRPr="00605672">
        <w:rPr>
          <w:szCs w:val="24"/>
        </w:rPr>
        <w:t>.05)</w:t>
      </w:r>
      <w:r w:rsidR="002C2A1F">
        <w:rPr>
          <w:szCs w:val="24"/>
        </w:rPr>
        <w:t>, which we discuss subsequently</w:t>
      </w:r>
      <w:r w:rsidRPr="00605672">
        <w:rPr>
          <w:szCs w:val="24"/>
        </w:rPr>
        <w:t xml:space="preserve">. In addition, we compare our sample of suppliers with the initial sampling frame </w:t>
      </w:r>
      <w:r w:rsidR="002C2A1F">
        <w:rPr>
          <w:szCs w:val="24"/>
        </w:rPr>
        <w:t xml:space="preserve">on </w:t>
      </w:r>
      <w:r w:rsidRPr="00605672">
        <w:rPr>
          <w:szCs w:val="24"/>
        </w:rPr>
        <w:t>two demographic variables</w:t>
      </w:r>
      <w:r w:rsidR="002C2A1F">
        <w:rPr>
          <w:szCs w:val="24"/>
        </w:rPr>
        <w:t>,</w:t>
      </w:r>
      <w:r w:rsidRPr="00605672">
        <w:rPr>
          <w:szCs w:val="24"/>
        </w:rPr>
        <w:t xml:space="preserve"> company size and annual revenue</w:t>
      </w:r>
      <w:r w:rsidR="002C2A1F">
        <w:rPr>
          <w:szCs w:val="24"/>
        </w:rPr>
        <w:t>,</w:t>
      </w:r>
      <w:r w:rsidRPr="00605672">
        <w:rPr>
          <w:szCs w:val="24"/>
        </w:rPr>
        <w:t xml:space="preserve"> </w:t>
      </w:r>
      <w:r w:rsidR="00D93A48" w:rsidRPr="00605672">
        <w:rPr>
          <w:szCs w:val="24"/>
        </w:rPr>
        <w:t xml:space="preserve">but </w:t>
      </w:r>
      <w:r w:rsidR="002C2A1F">
        <w:rPr>
          <w:szCs w:val="24"/>
        </w:rPr>
        <w:t xml:space="preserve">find </w:t>
      </w:r>
      <w:r w:rsidRPr="00605672">
        <w:rPr>
          <w:szCs w:val="24"/>
        </w:rPr>
        <w:t>no significant differences.</w:t>
      </w:r>
    </w:p>
    <w:p w14:paraId="589769C7" w14:textId="0772D8EC" w:rsidR="00FB3B98" w:rsidRPr="00605672" w:rsidRDefault="00FB3B98" w:rsidP="00FB3B98">
      <w:pPr>
        <w:pStyle w:val="Bodytext"/>
        <w:jc w:val="left"/>
        <w:rPr>
          <w:szCs w:val="24"/>
        </w:rPr>
      </w:pPr>
      <w:r w:rsidRPr="00605672">
        <w:rPr>
          <w:szCs w:val="24"/>
        </w:rPr>
        <w:t>We use a similar procedure to identify informant</w:t>
      </w:r>
      <w:r w:rsidR="00351FA8" w:rsidRPr="00605672">
        <w:rPr>
          <w:szCs w:val="24"/>
        </w:rPr>
        <w:t>s</w:t>
      </w:r>
      <w:r w:rsidRPr="00605672">
        <w:rPr>
          <w:szCs w:val="24"/>
        </w:rPr>
        <w:t xml:space="preserve"> in the reseller firm</w:t>
      </w:r>
      <w:r w:rsidR="007538B7" w:rsidRPr="00605672">
        <w:rPr>
          <w:szCs w:val="24"/>
        </w:rPr>
        <w:t>s</w:t>
      </w:r>
      <w:r w:rsidRPr="00605672">
        <w:rPr>
          <w:szCs w:val="24"/>
        </w:rPr>
        <w:t>. Specifically, each informant from the supplier firm provide</w:t>
      </w:r>
      <w:r w:rsidR="002C2A1F">
        <w:rPr>
          <w:szCs w:val="24"/>
        </w:rPr>
        <w:t>d</w:t>
      </w:r>
      <w:r w:rsidRPr="00605672">
        <w:rPr>
          <w:szCs w:val="24"/>
        </w:rPr>
        <w:t xml:space="preserve"> the name of a person in the reseller firm who was knowledgeable about the relationship with the supplier. Of the 281 names provided by the suppliers, 226 agreed to participate in the study.</w:t>
      </w:r>
      <w:r w:rsidR="008F4FC7" w:rsidRPr="00605672">
        <w:rPr>
          <w:szCs w:val="24"/>
        </w:rPr>
        <w:t xml:space="preserve"> In total, </w:t>
      </w:r>
      <w:r w:rsidR="0069482A">
        <w:rPr>
          <w:szCs w:val="24"/>
        </w:rPr>
        <w:t xml:space="preserve">we obtained </w:t>
      </w:r>
      <w:r w:rsidRPr="00605672">
        <w:rPr>
          <w:szCs w:val="24"/>
        </w:rPr>
        <w:t xml:space="preserve">111 questionnaires completed </w:t>
      </w:r>
      <w:r w:rsidR="0069482A">
        <w:rPr>
          <w:szCs w:val="24"/>
        </w:rPr>
        <w:t>over the tele</w:t>
      </w:r>
      <w:r w:rsidRPr="00605672">
        <w:rPr>
          <w:szCs w:val="24"/>
        </w:rPr>
        <w:t xml:space="preserve">phone and 95 returned by mail, for a total response rate of </w:t>
      </w:r>
      <w:r w:rsidR="003B6F27" w:rsidRPr="00605672">
        <w:rPr>
          <w:szCs w:val="24"/>
        </w:rPr>
        <w:t>73</w:t>
      </w:r>
      <w:r w:rsidRPr="00605672">
        <w:rPr>
          <w:szCs w:val="24"/>
        </w:rPr>
        <w:t xml:space="preserve">% (of the </w:t>
      </w:r>
      <w:r w:rsidR="003B6F27" w:rsidRPr="00605672">
        <w:rPr>
          <w:szCs w:val="24"/>
        </w:rPr>
        <w:t xml:space="preserve">281 </w:t>
      </w:r>
      <w:r w:rsidR="000C6FA2" w:rsidRPr="00605672">
        <w:rPr>
          <w:szCs w:val="24"/>
        </w:rPr>
        <w:t xml:space="preserve">names </w:t>
      </w:r>
      <w:r w:rsidR="003B6F27" w:rsidRPr="00605672">
        <w:rPr>
          <w:szCs w:val="24"/>
        </w:rPr>
        <w:t>provided</w:t>
      </w:r>
      <w:r w:rsidRPr="00605672">
        <w:rPr>
          <w:szCs w:val="24"/>
        </w:rPr>
        <w:t xml:space="preserve">). </w:t>
      </w:r>
      <w:r w:rsidR="0069482A">
        <w:rPr>
          <w:szCs w:val="24"/>
        </w:rPr>
        <w:t xml:space="preserve">In similar </w:t>
      </w:r>
      <w:r w:rsidRPr="00605672">
        <w:rPr>
          <w:szCs w:val="24"/>
        </w:rPr>
        <w:t>post hoc test</w:t>
      </w:r>
      <w:r w:rsidR="00922A67" w:rsidRPr="00605672">
        <w:rPr>
          <w:szCs w:val="24"/>
        </w:rPr>
        <w:t>s</w:t>
      </w:r>
      <w:r w:rsidRPr="00605672">
        <w:rPr>
          <w:szCs w:val="24"/>
        </w:rPr>
        <w:t xml:space="preserve">, we </w:t>
      </w:r>
      <w:r w:rsidR="0069482A">
        <w:rPr>
          <w:szCs w:val="24"/>
        </w:rPr>
        <w:t xml:space="preserve">find </w:t>
      </w:r>
      <w:r w:rsidRPr="00605672">
        <w:rPr>
          <w:szCs w:val="24"/>
        </w:rPr>
        <w:t>no significant differences between the two modes of data coll</w:t>
      </w:r>
      <w:r w:rsidR="003D1A77" w:rsidRPr="00605672">
        <w:rPr>
          <w:szCs w:val="24"/>
        </w:rPr>
        <w:t>ection for our focal variables.</w:t>
      </w:r>
    </w:p>
    <w:p w14:paraId="43C1DCD2" w14:textId="0D441E2A" w:rsidR="00FB3B98" w:rsidRPr="00605672" w:rsidRDefault="00FB3B98" w:rsidP="00FB3B98">
      <w:pPr>
        <w:pStyle w:val="Bodytext"/>
        <w:jc w:val="left"/>
        <w:rPr>
          <w:szCs w:val="24"/>
        </w:rPr>
      </w:pPr>
      <w:r w:rsidRPr="00605672">
        <w:rPr>
          <w:szCs w:val="24"/>
        </w:rPr>
        <w:lastRenderedPageBreak/>
        <w:t>Three years later</w:t>
      </w:r>
      <w:r w:rsidR="0069482A">
        <w:rPr>
          <w:szCs w:val="24"/>
        </w:rPr>
        <w:t>,</w:t>
      </w:r>
      <w:r w:rsidRPr="00605672">
        <w:rPr>
          <w:szCs w:val="24"/>
        </w:rPr>
        <w:t xml:space="preserve"> we contacted the same companies for a second data collection</w:t>
      </w:r>
      <w:r w:rsidR="0069482A">
        <w:rPr>
          <w:szCs w:val="24"/>
        </w:rPr>
        <w:t xml:space="preserve"> wave</w:t>
      </w:r>
      <w:r w:rsidRPr="00605672">
        <w:rPr>
          <w:szCs w:val="24"/>
        </w:rPr>
        <w:t xml:space="preserve">. </w:t>
      </w:r>
      <w:r w:rsidR="00BA75AC" w:rsidRPr="00605672">
        <w:rPr>
          <w:szCs w:val="24"/>
        </w:rPr>
        <w:t xml:space="preserve">We gave </w:t>
      </w:r>
      <w:r w:rsidRPr="00605672">
        <w:rPr>
          <w:szCs w:val="24"/>
        </w:rPr>
        <w:t>key informants the name of the partner (reseller or supplier) and the product description from the first wave. We achieved a final sample of 105 questionnaires across times 1 and 2</w:t>
      </w:r>
      <w:r w:rsidR="0069482A">
        <w:rPr>
          <w:szCs w:val="24"/>
        </w:rPr>
        <w:t xml:space="preserve">; with the exception of 5 </w:t>
      </w:r>
      <w:r w:rsidR="00A84A90" w:rsidRPr="00605672">
        <w:rPr>
          <w:szCs w:val="24"/>
        </w:rPr>
        <w:t xml:space="preserve">cases with significant missing data </w:t>
      </w:r>
      <w:r w:rsidR="0069482A">
        <w:rPr>
          <w:szCs w:val="24"/>
        </w:rPr>
        <w:t xml:space="preserve">for the </w:t>
      </w:r>
      <w:r w:rsidR="00A84A90" w:rsidRPr="00605672">
        <w:rPr>
          <w:szCs w:val="24"/>
        </w:rPr>
        <w:t>focal study variables</w:t>
      </w:r>
      <w:r w:rsidR="0069482A">
        <w:rPr>
          <w:szCs w:val="24"/>
        </w:rPr>
        <w:t xml:space="preserve">, we included all these responses </w:t>
      </w:r>
      <w:r w:rsidR="00A84A90" w:rsidRPr="00605672">
        <w:rPr>
          <w:szCs w:val="24"/>
        </w:rPr>
        <w:t>in the analyses.</w:t>
      </w:r>
      <w:r w:rsidRPr="00605672">
        <w:rPr>
          <w:szCs w:val="24"/>
        </w:rPr>
        <w:t xml:space="preserve"> </w:t>
      </w:r>
      <w:r w:rsidR="0069482A">
        <w:rPr>
          <w:szCs w:val="24"/>
        </w:rPr>
        <w:t xml:space="preserve">Considering </w:t>
      </w:r>
      <w:r w:rsidRPr="00605672">
        <w:rPr>
          <w:szCs w:val="24"/>
        </w:rPr>
        <w:t xml:space="preserve">the inherent difficulties </w:t>
      </w:r>
      <w:r w:rsidR="0069482A">
        <w:rPr>
          <w:szCs w:val="24"/>
        </w:rPr>
        <w:t xml:space="preserve">of </w:t>
      </w:r>
      <w:r w:rsidRPr="00605672">
        <w:rPr>
          <w:szCs w:val="24"/>
        </w:rPr>
        <w:t xml:space="preserve">a longitudinal survey design, our </w:t>
      </w:r>
      <w:r w:rsidR="000C6FA2" w:rsidRPr="00605672">
        <w:rPr>
          <w:szCs w:val="24"/>
        </w:rPr>
        <w:t xml:space="preserve">overall </w:t>
      </w:r>
      <w:r w:rsidRPr="00605672">
        <w:rPr>
          <w:szCs w:val="24"/>
        </w:rPr>
        <w:t>response rate</w:t>
      </w:r>
      <w:r w:rsidR="000C6FA2" w:rsidRPr="00605672">
        <w:rPr>
          <w:szCs w:val="24"/>
        </w:rPr>
        <w:t xml:space="preserve"> (</w:t>
      </w:r>
      <w:r w:rsidR="00A65A03" w:rsidRPr="00605672">
        <w:rPr>
          <w:szCs w:val="24"/>
        </w:rPr>
        <w:t>15</w:t>
      </w:r>
      <w:r w:rsidR="000C6FA2" w:rsidRPr="00605672">
        <w:rPr>
          <w:szCs w:val="24"/>
        </w:rPr>
        <w:t xml:space="preserve">% of </w:t>
      </w:r>
      <w:r w:rsidR="00A65A03" w:rsidRPr="00605672">
        <w:rPr>
          <w:szCs w:val="24"/>
        </w:rPr>
        <w:t>700</w:t>
      </w:r>
      <w:r w:rsidR="000C6FA2" w:rsidRPr="00605672">
        <w:rPr>
          <w:szCs w:val="24"/>
        </w:rPr>
        <w:t>)</w:t>
      </w:r>
      <w:r w:rsidRPr="00605672">
        <w:rPr>
          <w:szCs w:val="24"/>
        </w:rPr>
        <w:t xml:space="preserve"> </w:t>
      </w:r>
      <w:r w:rsidR="000C6FA2" w:rsidRPr="00605672">
        <w:rPr>
          <w:szCs w:val="24"/>
        </w:rPr>
        <w:t xml:space="preserve">is comparable to </w:t>
      </w:r>
      <w:r w:rsidR="0069482A">
        <w:rPr>
          <w:szCs w:val="24"/>
        </w:rPr>
        <w:t xml:space="preserve">that of </w:t>
      </w:r>
      <w:r w:rsidRPr="00605672">
        <w:rPr>
          <w:szCs w:val="24"/>
        </w:rPr>
        <w:t xml:space="preserve">other studies of interfirm relationships (see </w:t>
      </w:r>
      <w:r w:rsidRPr="00605672">
        <w:rPr>
          <w:rFonts w:eastAsia="Calibri"/>
        </w:rPr>
        <w:t>Kriauciunas, Parmigiani, and Rivera-Santos 2011)</w:t>
      </w:r>
      <w:r w:rsidRPr="00605672">
        <w:rPr>
          <w:szCs w:val="24"/>
        </w:rPr>
        <w:t xml:space="preserve">. </w:t>
      </w:r>
      <w:r w:rsidR="0069482A">
        <w:rPr>
          <w:szCs w:val="24"/>
        </w:rPr>
        <w:t>A</w:t>
      </w:r>
      <w:r w:rsidRPr="00605672">
        <w:rPr>
          <w:szCs w:val="24"/>
        </w:rPr>
        <w:t xml:space="preserve">gain, we test for systematic differences between questionnaires administered by telephone and mail, and we compare the final sample of suppliers with the initial sampling frame with respect to </w:t>
      </w:r>
      <w:r w:rsidR="0069482A">
        <w:rPr>
          <w:szCs w:val="24"/>
        </w:rPr>
        <w:t xml:space="preserve">the </w:t>
      </w:r>
      <w:r w:rsidRPr="00605672">
        <w:rPr>
          <w:szCs w:val="24"/>
        </w:rPr>
        <w:t xml:space="preserve">firm demographics. </w:t>
      </w:r>
      <w:r w:rsidR="00BA75AC" w:rsidRPr="00605672">
        <w:rPr>
          <w:szCs w:val="24"/>
        </w:rPr>
        <w:t xml:space="preserve">We </w:t>
      </w:r>
      <w:r w:rsidR="0069482A">
        <w:rPr>
          <w:szCs w:val="24"/>
        </w:rPr>
        <w:t xml:space="preserve">find </w:t>
      </w:r>
      <w:r w:rsidR="00BA75AC" w:rsidRPr="00605672">
        <w:rPr>
          <w:szCs w:val="24"/>
        </w:rPr>
        <w:t>n</w:t>
      </w:r>
      <w:r w:rsidRPr="00605672">
        <w:rPr>
          <w:szCs w:val="24"/>
        </w:rPr>
        <w:t xml:space="preserve">o significant differences. Finally, we compare the final sample of suppliers and resellers that participated in both waves </w:t>
      </w:r>
      <w:r w:rsidR="0069482A">
        <w:rPr>
          <w:szCs w:val="24"/>
        </w:rPr>
        <w:t xml:space="preserve">with </w:t>
      </w:r>
      <w:r w:rsidRPr="00605672">
        <w:rPr>
          <w:szCs w:val="24"/>
        </w:rPr>
        <w:t xml:space="preserve">those that only participated in the first wave and </w:t>
      </w:r>
      <w:r w:rsidR="0069482A">
        <w:rPr>
          <w:szCs w:val="24"/>
        </w:rPr>
        <w:t xml:space="preserve">find </w:t>
      </w:r>
      <w:r w:rsidRPr="00605672">
        <w:rPr>
          <w:szCs w:val="24"/>
        </w:rPr>
        <w:t>no significant differences</w:t>
      </w:r>
      <w:r w:rsidR="0069482A">
        <w:rPr>
          <w:szCs w:val="24"/>
        </w:rPr>
        <w:t xml:space="preserve"> in our study variables</w:t>
      </w:r>
      <w:r w:rsidRPr="00605672">
        <w:rPr>
          <w:szCs w:val="24"/>
        </w:rPr>
        <w:t xml:space="preserve">, </w:t>
      </w:r>
      <w:r w:rsidR="0069482A">
        <w:rPr>
          <w:szCs w:val="24"/>
        </w:rPr>
        <w:t xml:space="preserve">again with the </w:t>
      </w:r>
      <w:r w:rsidRPr="00605672">
        <w:rPr>
          <w:szCs w:val="24"/>
        </w:rPr>
        <w:t>except</w:t>
      </w:r>
      <w:r w:rsidR="0069482A">
        <w:rPr>
          <w:szCs w:val="24"/>
        </w:rPr>
        <w:t xml:space="preserve">ion of </w:t>
      </w:r>
      <w:r w:rsidR="009849E8" w:rsidRPr="00605672">
        <w:rPr>
          <w:szCs w:val="24"/>
        </w:rPr>
        <w:t>reseller investments</w:t>
      </w:r>
      <w:r w:rsidR="0069482A">
        <w:rPr>
          <w:szCs w:val="24"/>
        </w:rPr>
        <w:t xml:space="preserve"> (</w:t>
      </w:r>
      <w:r w:rsidRPr="00605672">
        <w:rPr>
          <w:i/>
          <w:szCs w:val="24"/>
        </w:rPr>
        <w:t xml:space="preserve">p </w:t>
      </w:r>
      <w:r w:rsidR="003D1A77" w:rsidRPr="00605672">
        <w:rPr>
          <w:szCs w:val="24"/>
        </w:rPr>
        <w:t>&lt;</w:t>
      </w:r>
      <w:r w:rsidR="0069482A">
        <w:rPr>
          <w:szCs w:val="24"/>
        </w:rPr>
        <w:t xml:space="preserve"> </w:t>
      </w:r>
      <w:r w:rsidR="003D1A77" w:rsidRPr="00605672">
        <w:rPr>
          <w:szCs w:val="24"/>
        </w:rPr>
        <w:t>.05).</w:t>
      </w:r>
    </w:p>
    <w:p w14:paraId="7F4142D8" w14:textId="77777777" w:rsidR="002D624C" w:rsidRPr="00605672" w:rsidRDefault="00FB3B98">
      <w:pPr>
        <w:pStyle w:val="Heading2"/>
        <w:spacing w:after="0"/>
        <w:rPr>
          <w:b/>
          <w:szCs w:val="24"/>
          <w:lang w:val="en-US"/>
        </w:rPr>
      </w:pPr>
      <w:r w:rsidRPr="00605672">
        <w:rPr>
          <w:szCs w:val="24"/>
          <w:lang w:val="en-US"/>
        </w:rPr>
        <w:t>Key Informant Checks</w:t>
      </w:r>
    </w:p>
    <w:p w14:paraId="05AE6184" w14:textId="49291846" w:rsidR="00FB3B98" w:rsidRPr="00605672" w:rsidRDefault="0069482A" w:rsidP="00FB3B98">
      <w:pPr>
        <w:pStyle w:val="Bodytext"/>
        <w:jc w:val="left"/>
        <w:rPr>
          <w:szCs w:val="24"/>
        </w:rPr>
      </w:pPr>
      <w:r>
        <w:rPr>
          <w:szCs w:val="24"/>
        </w:rPr>
        <w:t xml:space="preserve">In addition to the </w:t>
      </w:r>
      <w:r w:rsidR="00FB3B98" w:rsidRPr="00605672">
        <w:rPr>
          <w:szCs w:val="24"/>
        </w:rPr>
        <w:t>steps taken to ensure proper informant selection</w:t>
      </w:r>
      <w:r>
        <w:rPr>
          <w:szCs w:val="24"/>
        </w:rPr>
        <w:t>s</w:t>
      </w:r>
      <w:r w:rsidR="00FB3B98" w:rsidRPr="00605672">
        <w:rPr>
          <w:szCs w:val="24"/>
        </w:rPr>
        <w:t xml:space="preserve">, we administered a formal </w:t>
      </w:r>
      <w:r w:rsidR="00B3303D" w:rsidRPr="00605672">
        <w:rPr>
          <w:szCs w:val="24"/>
        </w:rPr>
        <w:t>test</w:t>
      </w:r>
      <w:r>
        <w:rPr>
          <w:szCs w:val="24"/>
        </w:rPr>
        <w:t>,</w:t>
      </w:r>
      <w:r w:rsidR="00FB3B98" w:rsidRPr="00605672">
        <w:rPr>
          <w:szCs w:val="24"/>
        </w:rPr>
        <w:t xml:space="preserve"> as part of the survey instrument </w:t>
      </w:r>
      <w:r w:rsidR="00AA5B5D" w:rsidRPr="00605672">
        <w:rPr>
          <w:szCs w:val="24"/>
        </w:rPr>
        <w:fldChar w:fldCharType="begin"/>
      </w:r>
      <w:r w:rsidR="00FB3B98" w:rsidRPr="00605672">
        <w:rPr>
          <w:szCs w:val="24"/>
        </w:rPr>
        <w:instrText xml:space="preserve"> ADDIN EN.CITE &lt;EndNote&gt;&lt;Cite&gt;&lt;Author&gt;Kumar&lt;/Author&gt;&lt;Year&gt;1993&lt;/Year&gt;&lt;RecNum&gt;17&lt;/RecNum&gt;&lt;record&gt;&lt;rec-number&gt;17&lt;/rec-number&gt;&lt;foreign-keys&gt;&lt;key app="EN" db-id="ssraf95pgs2af9erzvi5ztaba2trtwdfwv05"&gt;17&lt;/key&gt;&lt;/foreign-keys&gt;&lt;ref-type name="Journal Article"&gt;17&lt;/ref-type&gt;&lt;contributors&gt;&lt;authors&gt;&lt;author&gt;Kumar, Nirmalya&lt;/author&gt;&lt;author&gt;Stern, Louis W.&lt;/author&gt;&lt;author&gt;Anderson, James C.&lt;/author&gt;&lt;/authors&gt;&lt;/contributors&gt;&lt;titles&gt;&lt;title&gt;Conducting Interorganizational Research Using Key Informants&lt;/title&gt;&lt;secondary-title&gt;Academy of Management Journal&lt;/secondary-title&gt;&lt;/titles&gt;&lt;periodical&gt;&lt;full-title&gt;Academy of Management Journal&lt;/full-title&gt;&lt;/periodical&gt;&lt;pages&gt;1633-51&lt;/pages&gt;&lt;volume&gt;36&lt;/volume&gt;&lt;number&gt;6&lt;/number&gt;&lt;keywords&gt;&lt;keyword&gt;Business intelligence&lt;/keyword&gt;&lt;keyword&gt;Interorganizational relations&lt;/keyword&gt;&lt;/keywords&gt;&lt;dates&gt;&lt;year&gt;1993&lt;/year&gt;&lt;/dates&gt;&lt;urls&gt;&lt;/urls&gt;&lt;/record&gt;&lt;/Cite&gt;&lt;/EndNote&gt;</w:instrText>
      </w:r>
      <w:r w:rsidR="00AA5B5D" w:rsidRPr="00605672">
        <w:rPr>
          <w:szCs w:val="24"/>
        </w:rPr>
        <w:fldChar w:fldCharType="separate"/>
      </w:r>
      <w:r w:rsidR="00FB3B98" w:rsidRPr="00605672">
        <w:rPr>
          <w:szCs w:val="24"/>
        </w:rPr>
        <w:t>(Kumar, Stern, and Anderson 1993)</w:t>
      </w:r>
      <w:r w:rsidR="00AA5B5D" w:rsidRPr="00605672">
        <w:rPr>
          <w:szCs w:val="24"/>
        </w:rPr>
        <w:fldChar w:fldCharType="end"/>
      </w:r>
      <w:r w:rsidR="00FB3B98" w:rsidRPr="00605672">
        <w:rPr>
          <w:szCs w:val="24"/>
        </w:rPr>
        <w:t xml:space="preserve">. </w:t>
      </w:r>
      <w:r>
        <w:rPr>
          <w:szCs w:val="24"/>
        </w:rPr>
        <w:t xml:space="preserve">On the basis of </w:t>
      </w:r>
      <w:r w:rsidR="00FB3B98" w:rsidRPr="00605672">
        <w:rPr>
          <w:szCs w:val="24"/>
        </w:rPr>
        <w:t>a seven-point scale to assess informant knowledge, we eliminated three supplier informants with score</w:t>
      </w:r>
      <w:r>
        <w:rPr>
          <w:szCs w:val="24"/>
        </w:rPr>
        <w:t>s</w:t>
      </w:r>
      <w:r w:rsidR="00FB3B98" w:rsidRPr="00605672">
        <w:rPr>
          <w:szCs w:val="24"/>
        </w:rPr>
        <w:t xml:space="preserve"> lower than </w:t>
      </w:r>
      <w:r>
        <w:rPr>
          <w:szCs w:val="24"/>
        </w:rPr>
        <w:t xml:space="preserve">4 </w:t>
      </w:r>
      <w:r w:rsidR="00FB3B98" w:rsidRPr="00605672">
        <w:rPr>
          <w:szCs w:val="24"/>
        </w:rPr>
        <w:t>at time 1. The average knowledge score for the remaining informants was 6.5 (SD = .75) for suppliers an</w:t>
      </w:r>
      <w:r w:rsidR="003D1A77" w:rsidRPr="00605672">
        <w:rPr>
          <w:szCs w:val="24"/>
        </w:rPr>
        <w:t>d 6.4 (SD = .78) for resellers.</w:t>
      </w:r>
    </w:p>
    <w:p w14:paraId="0DDFC0F9" w14:textId="32929C5F" w:rsidR="00FB3B98" w:rsidRPr="00605672" w:rsidRDefault="00FB3B98" w:rsidP="00FB3B98">
      <w:pPr>
        <w:pStyle w:val="Bodytext"/>
        <w:jc w:val="left"/>
        <w:rPr>
          <w:szCs w:val="24"/>
        </w:rPr>
      </w:pPr>
      <w:r w:rsidRPr="00605672">
        <w:rPr>
          <w:szCs w:val="24"/>
        </w:rPr>
        <w:t xml:space="preserve">One of the potential difficulties with collecting data from the same company at two different points in time is attrition due to informant turnover. </w:t>
      </w:r>
      <w:r w:rsidR="0069482A">
        <w:rPr>
          <w:szCs w:val="24"/>
        </w:rPr>
        <w:t xml:space="preserve">Therefore, we </w:t>
      </w:r>
      <w:r w:rsidRPr="00605672">
        <w:rPr>
          <w:szCs w:val="24"/>
        </w:rPr>
        <w:t>subject</w:t>
      </w:r>
      <w:r w:rsidR="0069482A">
        <w:rPr>
          <w:szCs w:val="24"/>
        </w:rPr>
        <w:t>ed</w:t>
      </w:r>
      <w:r w:rsidRPr="00605672">
        <w:rPr>
          <w:szCs w:val="24"/>
        </w:rPr>
        <w:t xml:space="preserve"> each new informant to a telephone assessment </w:t>
      </w:r>
      <w:r w:rsidR="0069482A">
        <w:rPr>
          <w:szCs w:val="24"/>
        </w:rPr>
        <w:t xml:space="preserve">to confirm that they met the </w:t>
      </w:r>
      <w:r w:rsidRPr="00605672">
        <w:rPr>
          <w:szCs w:val="24"/>
        </w:rPr>
        <w:t>established study criteria. In addition, each survey sent to new informant</w:t>
      </w:r>
      <w:r w:rsidR="009B6C9B">
        <w:rPr>
          <w:szCs w:val="24"/>
        </w:rPr>
        <w:t>s</w:t>
      </w:r>
      <w:r w:rsidRPr="00605672">
        <w:rPr>
          <w:szCs w:val="24"/>
        </w:rPr>
        <w:t xml:space="preserve"> included a post hoc check </w:t>
      </w:r>
      <w:r w:rsidR="0069482A">
        <w:rPr>
          <w:szCs w:val="24"/>
        </w:rPr>
        <w:t xml:space="preserve">of </w:t>
      </w:r>
      <w:r w:rsidRPr="00605672">
        <w:rPr>
          <w:szCs w:val="24"/>
        </w:rPr>
        <w:t>the</w:t>
      </w:r>
      <w:r w:rsidR="0069482A">
        <w:rPr>
          <w:szCs w:val="24"/>
        </w:rPr>
        <w:t>se</w:t>
      </w:r>
      <w:r w:rsidRPr="00605672">
        <w:rPr>
          <w:szCs w:val="24"/>
        </w:rPr>
        <w:t xml:space="preserve"> focal </w:t>
      </w:r>
      <w:r w:rsidRPr="00605672">
        <w:rPr>
          <w:szCs w:val="24"/>
        </w:rPr>
        <w:lastRenderedPageBreak/>
        <w:t xml:space="preserve">informants’ knowledge about the specific nature of the relationship over the </w:t>
      </w:r>
      <w:r w:rsidR="0069482A">
        <w:rPr>
          <w:szCs w:val="24"/>
        </w:rPr>
        <w:t xml:space="preserve">previous </w:t>
      </w:r>
      <w:r w:rsidRPr="00605672">
        <w:rPr>
          <w:szCs w:val="24"/>
        </w:rPr>
        <w:t xml:space="preserve">three years. Only one case had to be eliminated </w:t>
      </w:r>
      <w:r w:rsidR="0069482A">
        <w:rPr>
          <w:szCs w:val="24"/>
        </w:rPr>
        <w:t xml:space="preserve">on the basis of </w:t>
      </w:r>
      <w:r w:rsidRPr="00605672">
        <w:rPr>
          <w:szCs w:val="24"/>
        </w:rPr>
        <w:t>this check. The average knowledge score was 6.1 (SD = 1.14) for suppliers and 6.3 (SD =.95) for resellers, which indicates that the informants are highly qualified to report on their firms</w:t>
      </w:r>
      <w:r w:rsidR="003D1A77" w:rsidRPr="00605672">
        <w:rPr>
          <w:szCs w:val="24"/>
        </w:rPr>
        <w:t xml:space="preserve">’ </w:t>
      </w:r>
      <w:r w:rsidR="00B3303D" w:rsidRPr="00605672">
        <w:rPr>
          <w:szCs w:val="24"/>
        </w:rPr>
        <w:t xml:space="preserve">channel </w:t>
      </w:r>
      <w:r w:rsidR="003D1A77" w:rsidRPr="00605672">
        <w:rPr>
          <w:szCs w:val="24"/>
        </w:rPr>
        <w:t>relationships.</w:t>
      </w:r>
    </w:p>
    <w:p w14:paraId="5BFAD6E3" w14:textId="77777777" w:rsidR="00FB3B98" w:rsidRPr="00605672" w:rsidRDefault="00FB3B98" w:rsidP="00FB3B98">
      <w:pPr>
        <w:pStyle w:val="Heading2"/>
        <w:spacing w:after="0"/>
        <w:rPr>
          <w:b/>
          <w:szCs w:val="24"/>
          <w:lang w:val="en-US"/>
        </w:rPr>
      </w:pPr>
      <w:r w:rsidRPr="00605672">
        <w:rPr>
          <w:szCs w:val="24"/>
          <w:lang w:val="en-US"/>
        </w:rPr>
        <w:t>Measures</w:t>
      </w:r>
    </w:p>
    <w:p w14:paraId="4112B8C7" w14:textId="0A108517" w:rsidR="00FB3B98" w:rsidRPr="00605672" w:rsidRDefault="00FB3B98" w:rsidP="00FB3B98">
      <w:pPr>
        <w:pStyle w:val="Bodytext"/>
        <w:jc w:val="left"/>
        <w:rPr>
          <w:szCs w:val="24"/>
        </w:rPr>
      </w:pPr>
      <w:r w:rsidRPr="00605672">
        <w:rPr>
          <w:szCs w:val="24"/>
        </w:rPr>
        <w:t xml:space="preserve">All focal constructs </w:t>
      </w:r>
      <w:r w:rsidR="00BA75AC" w:rsidRPr="00605672">
        <w:rPr>
          <w:szCs w:val="24"/>
        </w:rPr>
        <w:t xml:space="preserve">are </w:t>
      </w:r>
      <w:r w:rsidRPr="00605672">
        <w:rPr>
          <w:szCs w:val="24"/>
        </w:rPr>
        <w:t xml:space="preserve">measured using multi-item reflective scales. For each </w:t>
      </w:r>
      <w:r w:rsidR="00830BFA" w:rsidRPr="00605672">
        <w:rPr>
          <w:szCs w:val="24"/>
        </w:rPr>
        <w:t>construct,</w:t>
      </w:r>
      <w:r w:rsidRPr="00605672">
        <w:rPr>
          <w:szCs w:val="24"/>
        </w:rPr>
        <w:t xml:space="preserve"> we </w:t>
      </w:r>
      <w:r w:rsidR="0069482A">
        <w:rPr>
          <w:szCs w:val="24"/>
        </w:rPr>
        <w:t>detail</w:t>
      </w:r>
      <w:r w:rsidR="0069482A" w:rsidRPr="00605672">
        <w:rPr>
          <w:szCs w:val="24"/>
        </w:rPr>
        <w:t xml:space="preserve"> </w:t>
      </w:r>
      <w:r w:rsidRPr="00605672">
        <w:rPr>
          <w:szCs w:val="24"/>
        </w:rPr>
        <w:t>the abbreviation used in the regression models</w:t>
      </w:r>
      <w:r w:rsidR="0069482A">
        <w:rPr>
          <w:szCs w:val="24"/>
        </w:rPr>
        <w:t>,</w:t>
      </w:r>
      <w:r w:rsidRPr="00605672">
        <w:rPr>
          <w:szCs w:val="24"/>
        </w:rPr>
        <w:t xml:space="preserve"> whether the construct </w:t>
      </w:r>
      <w:r w:rsidR="0069482A">
        <w:rPr>
          <w:szCs w:val="24"/>
        </w:rPr>
        <w:t xml:space="preserve">is </w:t>
      </w:r>
      <w:r w:rsidRPr="00605672">
        <w:rPr>
          <w:szCs w:val="24"/>
        </w:rPr>
        <w:t>measured at time 1 or 2</w:t>
      </w:r>
      <w:r w:rsidR="0069482A">
        <w:rPr>
          <w:szCs w:val="24"/>
        </w:rPr>
        <w:t>,</w:t>
      </w:r>
      <w:r w:rsidRPr="00605672">
        <w:rPr>
          <w:szCs w:val="24"/>
        </w:rPr>
        <w:t xml:space="preserve"> and whether it </w:t>
      </w:r>
      <w:r w:rsidR="0069482A">
        <w:rPr>
          <w:szCs w:val="24"/>
        </w:rPr>
        <w:t xml:space="preserve">has been </w:t>
      </w:r>
      <w:r w:rsidRPr="00605672">
        <w:rPr>
          <w:szCs w:val="24"/>
        </w:rPr>
        <w:t xml:space="preserve">collected from the supplier </w:t>
      </w:r>
      <w:r w:rsidR="00FE6533" w:rsidRPr="00605672">
        <w:rPr>
          <w:szCs w:val="24"/>
        </w:rPr>
        <w:t>or</w:t>
      </w:r>
      <w:r w:rsidRPr="00605672">
        <w:rPr>
          <w:szCs w:val="24"/>
        </w:rPr>
        <w:t xml:space="preserve"> reseller</w:t>
      </w:r>
      <w:r w:rsidR="0069482A">
        <w:rPr>
          <w:szCs w:val="24"/>
        </w:rPr>
        <w:t xml:space="preserve"> in this section</w:t>
      </w:r>
      <w:r w:rsidRPr="00605672">
        <w:rPr>
          <w:szCs w:val="24"/>
        </w:rPr>
        <w:t xml:space="preserve">. </w:t>
      </w:r>
      <w:r w:rsidR="00433C5A" w:rsidRPr="00605672">
        <w:rPr>
          <w:szCs w:val="24"/>
        </w:rPr>
        <w:t xml:space="preserve">For all multi-item scales, we </w:t>
      </w:r>
      <w:r w:rsidR="0069482A">
        <w:rPr>
          <w:szCs w:val="24"/>
        </w:rPr>
        <w:t xml:space="preserve">use </w:t>
      </w:r>
      <w:r w:rsidR="00433C5A" w:rsidRPr="00605672">
        <w:rPr>
          <w:szCs w:val="24"/>
        </w:rPr>
        <w:t>latent factor scores</w:t>
      </w:r>
      <w:r w:rsidR="0069482A">
        <w:rPr>
          <w:szCs w:val="24"/>
        </w:rPr>
        <w:t xml:space="preserve"> that </w:t>
      </w:r>
      <w:r w:rsidR="00433C5A" w:rsidRPr="00605672">
        <w:rPr>
          <w:szCs w:val="24"/>
        </w:rPr>
        <w:t>account for measurement error</w:t>
      </w:r>
      <w:r w:rsidR="00D10E17" w:rsidRPr="00605672">
        <w:rPr>
          <w:szCs w:val="24"/>
        </w:rPr>
        <w:t>.</w:t>
      </w:r>
      <w:r w:rsidR="00433C5A" w:rsidRPr="00605672">
        <w:rPr>
          <w:szCs w:val="24"/>
        </w:rPr>
        <w:t xml:space="preserve"> </w:t>
      </w:r>
      <w:r w:rsidRPr="00605672">
        <w:rPr>
          <w:szCs w:val="24"/>
        </w:rPr>
        <w:t xml:space="preserve">The Appendix lists the specific items and response formats, and </w:t>
      </w:r>
      <w:r w:rsidR="0069482A">
        <w:rPr>
          <w:szCs w:val="24"/>
        </w:rPr>
        <w:t xml:space="preserve">the </w:t>
      </w:r>
      <w:r w:rsidRPr="00605672">
        <w:rPr>
          <w:szCs w:val="24"/>
        </w:rPr>
        <w:t xml:space="preserve">key descriptive statistics are in Table </w:t>
      </w:r>
      <w:r w:rsidR="00CC5859" w:rsidRPr="00605672">
        <w:rPr>
          <w:szCs w:val="24"/>
        </w:rPr>
        <w:t>1</w:t>
      </w:r>
      <w:r w:rsidRPr="00605672">
        <w:rPr>
          <w:szCs w:val="24"/>
        </w:rPr>
        <w:t>.</w:t>
      </w:r>
    </w:p>
    <w:p w14:paraId="06477CDE" w14:textId="21830059" w:rsidR="00FB3B98" w:rsidRPr="00605672" w:rsidRDefault="00D93A48" w:rsidP="00FB3B98">
      <w:pPr>
        <w:pStyle w:val="Bodytext"/>
        <w:jc w:val="left"/>
        <w:rPr>
          <w:szCs w:val="24"/>
        </w:rPr>
      </w:pPr>
      <w:r w:rsidRPr="00605672">
        <w:rPr>
          <w:i/>
          <w:szCs w:val="24"/>
        </w:rPr>
        <w:t xml:space="preserve">Supplier </w:t>
      </w:r>
      <w:r w:rsidR="002C0CCC" w:rsidRPr="00605672">
        <w:rPr>
          <w:i/>
          <w:szCs w:val="24"/>
        </w:rPr>
        <w:t>e</w:t>
      </w:r>
      <w:r w:rsidR="00FB3B98" w:rsidRPr="00605672">
        <w:rPr>
          <w:i/>
          <w:szCs w:val="24"/>
        </w:rPr>
        <w:t xml:space="preserve">x </w:t>
      </w:r>
      <w:r w:rsidR="002C0CCC" w:rsidRPr="00605672">
        <w:rPr>
          <w:i/>
          <w:szCs w:val="24"/>
        </w:rPr>
        <w:t>p</w:t>
      </w:r>
      <w:r w:rsidR="00FB3B98" w:rsidRPr="00605672">
        <w:rPr>
          <w:i/>
          <w:szCs w:val="24"/>
        </w:rPr>
        <w:t xml:space="preserve">ost </w:t>
      </w:r>
      <w:r w:rsidR="002C0CCC" w:rsidRPr="00605672">
        <w:rPr>
          <w:i/>
          <w:szCs w:val="24"/>
        </w:rPr>
        <w:t>t</w:t>
      </w:r>
      <w:r w:rsidR="00FB3B98" w:rsidRPr="00605672">
        <w:rPr>
          <w:i/>
          <w:szCs w:val="24"/>
        </w:rPr>
        <w:t xml:space="preserve">ransaction </w:t>
      </w:r>
      <w:r w:rsidR="002C0CCC" w:rsidRPr="00605672">
        <w:rPr>
          <w:i/>
          <w:szCs w:val="24"/>
        </w:rPr>
        <w:t>c</w:t>
      </w:r>
      <w:r w:rsidR="00FB3B98" w:rsidRPr="00605672">
        <w:rPr>
          <w:i/>
          <w:szCs w:val="24"/>
        </w:rPr>
        <w:t xml:space="preserve">osts </w:t>
      </w:r>
      <w:r w:rsidR="00FB3B98" w:rsidRPr="00605672">
        <w:rPr>
          <w:szCs w:val="24"/>
        </w:rPr>
        <w:t>(</w:t>
      </w:r>
      <w:r w:rsidR="00756B07" w:rsidRPr="00605672">
        <w:rPr>
          <w:color w:val="000000"/>
        </w:rPr>
        <w:t>STCT2</w:t>
      </w:r>
      <w:r w:rsidR="00BA6731" w:rsidRPr="00605672">
        <w:rPr>
          <w:color w:val="000000"/>
        </w:rPr>
        <w:t>,</w:t>
      </w:r>
      <w:r w:rsidR="00756B07" w:rsidRPr="00605672">
        <w:rPr>
          <w:color w:val="000000"/>
        </w:rPr>
        <w:t xml:space="preserve"> </w:t>
      </w:r>
      <w:r w:rsidR="00FB3B98" w:rsidRPr="00605672">
        <w:rPr>
          <w:i/>
          <w:szCs w:val="24"/>
        </w:rPr>
        <w:t>Time 2, Supplier</w:t>
      </w:r>
      <w:r w:rsidR="00FB3B98" w:rsidRPr="00605672">
        <w:rPr>
          <w:szCs w:val="24"/>
        </w:rPr>
        <w:t>).</w:t>
      </w:r>
      <w:r w:rsidR="00FB3B98" w:rsidRPr="00605672">
        <w:rPr>
          <w:i/>
          <w:szCs w:val="24"/>
        </w:rPr>
        <w:t xml:space="preserve"> </w:t>
      </w:r>
      <w:r w:rsidR="00FB3B98" w:rsidRPr="00605672">
        <w:rPr>
          <w:szCs w:val="24"/>
        </w:rPr>
        <w:t>Th</w:t>
      </w:r>
      <w:r w:rsidR="0069482A">
        <w:rPr>
          <w:szCs w:val="24"/>
        </w:rPr>
        <w:t>is</w:t>
      </w:r>
      <w:r w:rsidR="00FB3B98" w:rsidRPr="00605672">
        <w:rPr>
          <w:szCs w:val="24"/>
        </w:rPr>
        <w:t xml:space="preserve"> scale captures the </w:t>
      </w:r>
      <w:r w:rsidR="00D41985" w:rsidRPr="00605672">
        <w:rPr>
          <w:szCs w:val="24"/>
        </w:rPr>
        <w:t>ex post</w:t>
      </w:r>
      <w:r w:rsidR="00FB3B98" w:rsidRPr="00605672">
        <w:rPr>
          <w:szCs w:val="24"/>
        </w:rPr>
        <w:t xml:space="preserve"> bargaining, monitoring</w:t>
      </w:r>
      <w:r w:rsidR="0069482A">
        <w:rPr>
          <w:szCs w:val="24"/>
        </w:rPr>
        <w:t>,</w:t>
      </w:r>
      <w:r w:rsidR="00FB3B98" w:rsidRPr="00605672">
        <w:rPr>
          <w:szCs w:val="24"/>
        </w:rPr>
        <w:t xml:space="preserve"> and maladaptation costs incurred by the supplier in the relationship with the reseller for a specific product. The items </w:t>
      </w:r>
      <w:r w:rsidR="00BA75AC" w:rsidRPr="00605672">
        <w:rPr>
          <w:szCs w:val="24"/>
        </w:rPr>
        <w:t xml:space="preserve">are </w:t>
      </w:r>
      <w:r w:rsidR="00FB3B98" w:rsidRPr="00605672">
        <w:rPr>
          <w:szCs w:val="24"/>
        </w:rPr>
        <w:t xml:space="preserve">derived </w:t>
      </w:r>
      <w:r w:rsidR="0069482A">
        <w:rPr>
          <w:szCs w:val="24"/>
        </w:rPr>
        <w:t xml:space="preserve">from </w:t>
      </w:r>
      <w:r w:rsidR="00FB3B98" w:rsidRPr="00605672">
        <w:rPr>
          <w:szCs w:val="24"/>
        </w:rPr>
        <w:t xml:space="preserve">Dahlstrom and Nygaard </w:t>
      </w:r>
      <w:r w:rsidR="00AA5B5D" w:rsidRPr="00605672">
        <w:rPr>
          <w:szCs w:val="24"/>
        </w:rPr>
        <w:fldChar w:fldCharType="begin"/>
      </w:r>
      <w:r w:rsidR="00FB3B98" w:rsidRPr="00605672">
        <w:rPr>
          <w:szCs w:val="24"/>
        </w:rPr>
        <w:instrText xml:space="preserve"> ADDIN EN.CITE &lt;EndNote&gt;&lt;Cite ExcludeAuth="1"&gt;&lt;Year&gt;1999&lt;/Year&gt;&lt;RecNum&gt;1110&lt;/RecNum&gt;&lt;record&gt;&lt;rec-number&gt;1110&lt;/rec-number&gt;&lt;foreign-keys&gt;&lt;key app="EN" db-id="ssraf95pgs2af9erzvi5ztaba2trtwdfwv05"&gt;1110&lt;/key&gt;&lt;/foreign-keys&gt;&lt;ref-type name="Journal Article"&gt;17&lt;/ref-type&gt;&lt;contributors&gt;&lt;authors&gt;&lt;author&gt;Nygaard, Arne&lt;/author&gt;&lt;author&gt;Dahlstrom, Robert&lt;/author&gt;&lt;/authors&gt;&lt;/contributors&gt;&lt;titles&gt;&lt;title&gt;An Empirical Investigation of Ex Post Transaction Costs in Franchised Distribution Channels&lt;/title&gt;&lt;secondary-title&gt;Journal of Marketing Research&lt;/secondary-title&gt;&lt;/titles&gt;&lt;periodical&gt;&lt;full-title&gt;Journal of Marketing Research&lt;/full-title&gt;&lt;/periodical&gt;&lt;pages&gt;160-170&lt;/pages&gt;&lt;volume&gt;36&lt;/volume&gt;&lt;number&gt;2&lt;/number&gt;&lt;dates&gt;&lt;year&gt;1999&lt;/year&gt;&lt;/dates&gt;&lt;urls&gt;&lt;/urls&gt;&lt;/record&gt;&lt;/Cite&gt;&lt;/EndNote&gt;</w:instrText>
      </w:r>
      <w:r w:rsidR="00AA5B5D" w:rsidRPr="00605672">
        <w:rPr>
          <w:szCs w:val="24"/>
        </w:rPr>
        <w:fldChar w:fldCharType="separate"/>
      </w:r>
      <w:r w:rsidR="00FB3B98" w:rsidRPr="00605672">
        <w:rPr>
          <w:szCs w:val="24"/>
        </w:rPr>
        <w:t>(1999)</w:t>
      </w:r>
      <w:r w:rsidR="00AA5B5D" w:rsidRPr="00605672">
        <w:rPr>
          <w:szCs w:val="24"/>
        </w:rPr>
        <w:fldChar w:fldCharType="end"/>
      </w:r>
      <w:r w:rsidR="00FB3B98" w:rsidRPr="00605672">
        <w:rPr>
          <w:szCs w:val="24"/>
        </w:rPr>
        <w:t xml:space="preserve"> and Buvik and John </w:t>
      </w:r>
      <w:r w:rsidR="00AA5B5D" w:rsidRPr="00605672">
        <w:rPr>
          <w:szCs w:val="24"/>
        </w:rPr>
        <w:fldChar w:fldCharType="begin"/>
      </w:r>
      <w:r w:rsidR="00FB3B98" w:rsidRPr="00605672">
        <w:rPr>
          <w:szCs w:val="24"/>
        </w:rPr>
        <w:instrText xml:space="preserve"> ADDIN EN.CITE &lt;EndNote&gt;&lt;Cite ExcludeAuth="1"&gt;&lt;Year&gt;2000&lt;/Year&gt;&lt;RecNum&gt;672&lt;/RecNum&gt;&lt;record&gt;&lt;rec-number&gt;672&lt;/rec-number&gt;&lt;foreign-keys&gt;&lt;key app="EN" db-id="ssraf95pgs2af9erzvi5ztaba2trtwdfwv05"&gt;672&lt;/key&gt;&lt;/foreign-keys&gt;&lt;ref-type name="Journal Article"&gt;17&lt;/ref-type&gt;&lt;contributors&gt;&lt;authors&gt;&lt;author&gt;Buvik, Arnt&lt;/author&gt;&lt;author&gt;John, George&lt;/author&gt;&lt;/authors&gt;&lt;/contributors&gt;&lt;titles&gt;&lt;title&gt;When Does Vertical Coordination Improve Industrial Purchasing Relationships&lt;/title&gt;&lt;secondary-title&gt;Journal of Marketing&lt;/secondary-title&gt;&lt;/titles&gt;&lt;periodical&gt;&lt;full-title&gt;Journal of Marketing&lt;/full-title&gt;&lt;/periodical&gt;&lt;pages&gt;52-64&lt;/pages&gt;&lt;volume&gt;64&lt;/volume&gt;&lt;number&gt;4&lt;/number&gt;&lt;dates&gt;&lt;year&gt;2000&lt;/year&gt;&lt;/dates&gt;&lt;urls&gt;&lt;/urls&gt;&lt;/record&gt;&lt;/Cite&gt;&lt;/EndNote&gt;</w:instrText>
      </w:r>
      <w:r w:rsidR="00AA5B5D" w:rsidRPr="00605672">
        <w:rPr>
          <w:szCs w:val="24"/>
        </w:rPr>
        <w:fldChar w:fldCharType="separate"/>
      </w:r>
      <w:r w:rsidR="00FB3B98" w:rsidRPr="00605672">
        <w:rPr>
          <w:szCs w:val="24"/>
        </w:rPr>
        <w:t>(2000)</w:t>
      </w:r>
      <w:r w:rsidR="00AA5B5D" w:rsidRPr="00605672">
        <w:rPr>
          <w:szCs w:val="24"/>
        </w:rPr>
        <w:fldChar w:fldCharType="end"/>
      </w:r>
      <w:r w:rsidR="00FB3B98" w:rsidRPr="00605672">
        <w:rPr>
          <w:szCs w:val="24"/>
        </w:rPr>
        <w:t>.</w:t>
      </w:r>
    </w:p>
    <w:p w14:paraId="7F8E0A91" w14:textId="5FBE80F7" w:rsidR="00FB3B98" w:rsidRPr="00605672" w:rsidRDefault="00FB3B98" w:rsidP="00FB3B98">
      <w:pPr>
        <w:pStyle w:val="Bodytext"/>
        <w:jc w:val="left"/>
        <w:rPr>
          <w:szCs w:val="24"/>
        </w:rPr>
      </w:pPr>
      <w:r w:rsidRPr="00605672">
        <w:rPr>
          <w:i/>
          <w:szCs w:val="24"/>
        </w:rPr>
        <w:t xml:space="preserve">Supplier </w:t>
      </w:r>
      <w:r w:rsidR="002C0CCC" w:rsidRPr="00605672">
        <w:rPr>
          <w:i/>
          <w:szCs w:val="24"/>
        </w:rPr>
        <w:t>i</w:t>
      </w:r>
      <w:r w:rsidRPr="00605672">
        <w:rPr>
          <w:i/>
          <w:szCs w:val="24"/>
        </w:rPr>
        <w:t xml:space="preserve">ncremental </w:t>
      </w:r>
      <w:r w:rsidR="002C0CCC" w:rsidRPr="00605672">
        <w:rPr>
          <w:i/>
          <w:szCs w:val="24"/>
        </w:rPr>
        <w:t>i</w:t>
      </w:r>
      <w:r w:rsidRPr="00605672">
        <w:rPr>
          <w:i/>
          <w:szCs w:val="24"/>
        </w:rPr>
        <w:t xml:space="preserve">nvestments </w:t>
      </w:r>
      <w:r w:rsidRPr="00605672">
        <w:rPr>
          <w:szCs w:val="24"/>
        </w:rPr>
        <w:t>(</w:t>
      </w:r>
      <w:r w:rsidRPr="00605672">
        <w:rPr>
          <w:color w:val="000000"/>
        </w:rPr>
        <w:t>SI</w:t>
      </w:r>
      <w:r w:rsidR="00F33234" w:rsidRPr="00605672">
        <w:rPr>
          <w:color w:val="000000"/>
        </w:rPr>
        <w:t>NV</w:t>
      </w:r>
      <w:r w:rsidRPr="00605672">
        <w:rPr>
          <w:color w:val="000000"/>
        </w:rPr>
        <w:t xml:space="preserve">T2, </w:t>
      </w:r>
      <w:r w:rsidRPr="00605672">
        <w:rPr>
          <w:i/>
          <w:szCs w:val="24"/>
        </w:rPr>
        <w:t>Time 2, Supplier</w:t>
      </w:r>
      <w:r w:rsidRPr="00605672">
        <w:rPr>
          <w:szCs w:val="24"/>
        </w:rPr>
        <w:t xml:space="preserve">). This scale measures the </w:t>
      </w:r>
      <w:r w:rsidR="00D41985" w:rsidRPr="00605672">
        <w:rPr>
          <w:szCs w:val="24"/>
        </w:rPr>
        <w:t>ex post</w:t>
      </w:r>
      <w:r w:rsidRPr="00605672">
        <w:rPr>
          <w:szCs w:val="24"/>
        </w:rPr>
        <w:t xml:space="preserve"> </w:t>
      </w:r>
      <w:r w:rsidR="006E0F31" w:rsidRPr="00605672">
        <w:rPr>
          <w:szCs w:val="24"/>
        </w:rPr>
        <w:t xml:space="preserve">incremental </w:t>
      </w:r>
      <w:r w:rsidRPr="00605672">
        <w:rPr>
          <w:szCs w:val="24"/>
        </w:rPr>
        <w:t>investments made by the supplier</w:t>
      </w:r>
      <w:r w:rsidR="0069482A">
        <w:rPr>
          <w:szCs w:val="24"/>
        </w:rPr>
        <w:t xml:space="preserve">, </w:t>
      </w:r>
      <w:r w:rsidRPr="00605672">
        <w:rPr>
          <w:szCs w:val="24"/>
        </w:rPr>
        <w:t xml:space="preserve">dedicated to the relationship with the focal reseller. </w:t>
      </w:r>
      <w:r w:rsidR="005D70C4" w:rsidRPr="00605672">
        <w:rPr>
          <w:szCs w:val="24"/>
        </w:rPr>
        <w:t xml:space="preserve">We requested </w:t>
      </w:r>
      <w:r w:rsidR="0069482A">
        <w:rPr>
          <w:szCs w:val="24"/>
        </w:rPr>
        <w:t xml:space="preserve">that </w:t>
      </w:r>
      <w:r w:rsidRPr="00605672">
        <w:rPr>
          <w:szCs w:val="24"/>
        </w:rPr>
        <w:t xml:space="preserve">informants specifically indicate the investments made during the three years </w:t>
      </w:r>
      <w:r w:rsidR="00AA5B5D" w:rsidRPr="00727D37">
        <w:rPr>
          <w:szCs w:val="24"/>
        </w:rPr>
        <w:t>following</w:t>
      </w:r>
      <w:r w:rsidRPr="00605672">
        <w:rPr>
          <w:szCs w:val="24"/>
        </w:rPr>
        <w:t xml:space="preserve"> the first wave of data collection. The items </w:t>
      </w:r>
      <w:r w:rsidR="005D70C4" w:rsidRPr="00605672">
        <w:rPr>
          <w:szCs w:val="24"/>
        </w:rPr>
        <w:t xml:space="preserve">are </w:t>
      </w:r>
      <w:r w:rsidRPr="00605672">
        <w:rPr>
          <w:szCs w:val="24"/>
        </w:rPr>
        <w:t xml:space="preserve">based on measures used by Anderson and Weitz </w:t>
      </w:r>
      <w:r w:rsidR="00AA5B5D" w:rsidRPr="00605672">
        <w:rPr>
          <w:szCs w:val="24"/>
        </w:rPr>
        <w:fldChar w:fldCharType="begin"/>
      </w:r>
      <w:r w:rsidRPr="00605672">
        <w:rPr>
          <w:szCs w:val="24"/>
        </w:rPr>
        <w:instrText xml:space="preserve"> ADDIN EN.CITE &lt;EndNote&gt;&lt;Cite ExcludeAuth="1"&gt;&lt;Year&gt;1992&lt;/Year&gt;&lt;RecNum&gt;407&lt;/RecNum&gt;&lt;record&gt;&lt;rec-number&gt;407&lt;/rec-number&gt;&lt;foreign-keys&gt;&lt;key app="EN" db-id="ssraf95pgs2af9erzvi5ztaba2trtwdfwv05"&gt;407&lt;/key&gt;&lt;/foreign-keys&gt;&lt;ref-type name="Journal Article"&gt;17&lt;/ref-type&gt;&lt;contributors&gt;&lt;authors&gt;&lt;author&gt;Anderson, Erin&lt;/author&gt;&lt;author&gt;Weitz, Barton&lt;/author&gt;&lt;/authors&gt;&lt;/contributors&gt;&lt;titles&gt;&lt;title&gt;The Use of Pledges to Build and Sustain Commitment in Distribution Channels&lt;/title&gt;&lt;secondary-title&gt;Journal of Marketing Research&lt;/secondary-title&gt;&lt;/titles&gt;&lt;periodical&gt;&lt;full-title&gt;Journal of Marketing Research&lt;/full-title&gt;&lt;/periodical&gt;&lt;pages&gt;18-34&lt;/pages&gt;&lt;volume&gt;29&lt;/volume&gt;&lt;number&gt;February&lt;/number&gt;&lt;dates&gt;&lt;year&gt;1992&lt;/year&gt;&lt;/dates&gt;&lt;urls&gt;&lt;/urls&gt;&lt;/record&gt;&lt;/Cite&gt;&lt;/EndNote&gt;</w:instrText>
      </w:r>
      <w:r w:rsidR="00AA5B5D" w:rsidRPr="00605672">
        <w:rPr>
          <w:szCs w:val="24"/>
        </w:rPr>
        <w:fldChar w:fldCharType="separate"/>
      </w:r>
      <w:r w:rsidRPr="00605672">
        <w:rPr>
          <w:szCs w:val="24"/>
        </w:rPr>
        <w:t>(1992)</w:t>
      </w:r>
      <w:r w:rsidR="00AA5B5D" w:rsidRPr="00605672">
        <w:rPr>
          <w:szCs w:val="24"/>
        </w:rPr>
        <w:fldChar w:fldCharType="end"/>
      </w:r>
      <w:r w:rsidRPr="00605672">
        <w:rPr>
          <w:szCs w:val="24"/>
        </w:rPr>
        <w:t>.</w:t>
      </w:r>
    </w:p>
    <w:p w14:paraId="492F41AA" w14:textId="64E90DBB" w:rsidR="00B25948" w:rsidRPr="00605672" w:rsidRDefault="00BE1223">
      <w:pPr>
        <w:pStyle w:val="Bodytext"/>
        <w:jc w:val="left"/>
        <w:rPr>
          <w:szCs w:val="24"/>
        </w:rPr>
      </w:pPr>
      <w:r w:rsidRPr="00605672">
        <w:rPr>
          <w:i/>
          <w:szCs w:val="24"/>
        </w:rPr>
        <w:t xml:space="preserve">Supplier </w:t>
      </w:r>
      <w:r w:rsidR="00E61EC3">
        <w:rPr>
          <w:i/>
          <w:szCs w:val="24"/>
        </w:rPr>
        <w:t xml:space="preserve">and reseller </w:t>
      </w:r>
      <w:r w:rsidR="002C0CCC" w:rsidRPr="00605672">
        <w:rPr>
          <w:i/>
          <w:szCs w:val="24"/>
        </w:rPr>
        <w:t>i</w:t>
      </w:r>
      <w:r w:rsidR="007945A8" w:rsidRPr="00605672">
        <w:rPr>
          <w:i/>
          <w:szCs w:val="24"/>
        </w:rPr>
        <w:t>nvestment</w:t>
      </w:r>
      <w:r w:rsidR="001E67B1" w:rsidRPr="00605672">
        <w:rPr>
          <w:i/>
          <w:szCs w:val="24"/>
        </w:rPr>
        <w:t xml:space="preserve">s </w:t>
      </w:r>
      <w:r w:rsidR="00FB3B98" w:rsidRPr="00605672">
        <w:rPr>
          <w:szCs w:val="24"/>
        </w:rPr>
        <w:t>(</w:t>
      </w:r>
      <w:r w:rsidR="00F33234" w:rsidRPr="00605672">
        <w:rPr>
          <w:color w:val="000000"/>
        </w:rPr>
        <w:t>SINVT1</w:t>
      </w:r>
      <w:r w:rsidR="00E61EC3">
        <w:rPr>
          <w:color w:val="000000"/>
        </w:rPr>
        <w:t xml:space="preserve"> and RINVT1</w:t>
      </w:r>
      <w:r w:rsidR="00FB3B98" w:rsidRPr="00605672">
        <w:rPr>
          <w:color w:val="000000"/>
        </w:rPr>
        <w:t xml:space="preserve">, </w:t>
      </w:r>
      <w:r w:rsidR="00FB3B98" w:rsidRPr="00605672">
        <w:rPr>
          <w:i/>
          <w:szCs w:val="24"/>
        </w:rPr>
        <w:t>Time 1</w:t>
      </w:r>
      <w:r w:rsidR="00FB3B98" w:rsidRPr="00605672">
        <w:rPr>
          <w:szCs w:val="24"/>
        </w:rPr>
        <w:t>). Th</w:t>
      </w:r>
      <w:r w:rsidR="00E61EC3">
        <w:rPr>
          <w:szCs w:val="24"/>
        </w:rPr>
        <w:t xml:space="preserve">ese two </w:t>
      </w:r>
      <w:r w:rsidR="00FB3B98" w:rsidRPr="00605672">
        <w:rPr>
          <w:szCs w:val="24"/>
        </w:rPr>
        <w:t>scale</w:t>
      </w:r>
      <w:r w:rsidR="00E61EC3">
        <w:rPr>
          <w:szCs w:val="24"/>
        </w:rPr>
        <w:t>s</w:t>
      </w:r>
      <w:r w:rsidR="00FB3B98" w:rsidRPr="00605672">
        <w:rPr>
          <w:szCs w:val="24"/>
        </w:rPr>
        <w:t xml:space="preserve"> describe the investments made by the </w:t>
      </w:r>
      <w:r w:rsidRPr="00605672">
        <w:rPr>
          <w:szCs w:val="24"/>
        </w:rPr>
        <w:t xml:space="preserve">supplier </w:t>
      </w:r>
      <w:r w:rsidR="00E61EC3">
        <w:rPr>
          <w:szCs w:val="24"/>
        </w:rPr>
        <w:t xml:space="preserve">or the reseller </w:t>
      </w:r>
      <w:r w:rsidR="00FB3B98" w:rsidRPr="00605672">
        <w:rPr>
          <w:szCs w:val="24"/>
        </w:rPr>
        <w:t>at time 1</w:t>
      </w:r>
      <w:r w:rsidR="0069482A">
        <w:rPr>
          <w:szCs w:val="24"/>
        </w:rPr>
        <w:t>,</w:t>
      </w:r>
      <w:r w:rsidR="00FB3B98" w:rsidRPr="00605672">
        <w:rPr>
          <w:szCs w:val="24"/>
        </w:rPr>
        <w:t xml:space="preserve"> dedicated to the relationship with the focal </w:t>
      </w:r>
      <w:r w:rsidRPr="00605672">
        <w:rPr>
          <w:szCs w:val="24"/>
        </w:rPr>
        <w:t>reseller</w:t>
      </w:r>
      <w:r w:rsidR="00E61EC3">
        <w:rPr>
          <w:szCs w:val="24"/>
        </w:rPr>
        <w:t xml:space="preserve"> or supplier, respectively</w:t>
      </w:r>
      <w:r w:rsidR="00FB3B98" w:rsidRPr="00605672">
        <w:rPr>
          <w:szCs w:val="24"/>
        </w:rPr>
        <w:t xml:space="preserve">. The items </w:t>
      </w:r>
      <w:r w:rsidR="005D70C4" w:rsidRPr="00605672">
        <w:rPr>
          <w:szCs w:val="24"/>
        </w:rPr>
        <w:t xml:space="preserve">are </w:t>
      </w:r>
      <w:r w:rsidR="00FB3B98" w:rsidRPr="00605672">
        <w:rPr>
          <w:szCs w:val="24"/>
        </w:rPr>
        <w:t xml:space="preserve">based on those used by Anderson and Weitz </w:t>
      </w:r>
      <w:r w:rsidR="00AA5B5D" w:rsidRPr="00605672">
        <w:fldChar w:fldCharType="begin"/>
      </w:r>
      <w:r w:rsidR="00FB3B98" w:rsidRPr="00605672">
        <w:rPr>
          <w:szCs w:val="24"/>
        </w:rPr>
        <w:instrText xml:space="preserve"> ADDIN EN.CITE &lt;EndNote&gt;&lt;Cite ExcludeAuth="1"&gt;&lt;Year&gt;1992&lt;/Year&gt;&lt;RecNum&gt;407&lt;/RecNum&gt;&lt;record&gt;&lt;rec-number&gt;407&lt;/rec-number&gt;&lt;foreign-keys&gt;&lt;key app="EN" db-id="ssraf95pgs2af9erzvi5ztaba2trtwdfwv05"&gt;407&lt;/key&gt;&lt;/foreign-keys&gt;&lt;ref-type name="Journal Article"&gt;17&lt;/ref-type&gt;&lt;contributors&gt;&lt;authors&gt;&lt;author&gt;Anderson, Erin&lt;/author&gt;&lt;author&gt;Weitz, Barton&lt;/author&gt;&lt;/authors&gt;&lt;/contributors&gt;&lt;titles&gt;&lt;title&gt;The Use of Pledges to Build and Sustain Commitment in Distribution Channels&lt;/title&gt;&lt;secondary-title&gt;Journal of Marketing Research&lt;/secondary-title&gt;&lt;/titles&gt;&lt;periodical&gt;&lt;full-title&gt;Journal of Marketing Research&lt;/full-title&gt;&lt;/periodical&gt;&lt;pages&gt;18-34&lt;/pages&gt;&lt;volume&gt;29&lt;/volume&gt;&lt;number&gt;February&lt;/number&gt;&lt;dates&gt;&lt;year&gt;1992&lt;/year&gt;&lt;/dates&gt;&lt;urls&gt;&lt;/urls&gt;&lt;/record&gt;&lt;/Cite&gt;&lt;/EndNote&gt;</w:instrText>
      </w:r>
      <w:r w:rsidR="00AA5B5D" w:rsidRPr="00605672">
        <w:fldChar w:fldCharType="separate"/>
      </w:r>
      <w:r w:rsidR="00FB3B98" w:rsidRPr="00605672">
        <w:rPr>
          <w:szCs w:val="24"/>
        </w:rPr>
        <w:t>(1992)</w:t>
      </w:r>
      <w:r w:rsidR="00AA5B5D" w:rsidRPr="00605672">
        <w:fldChar w:fldCharType="end"/>
      </w:r>
      <w:r w:rsidR="001E1EBA" w:rsidRPr="00605672">
        <w:rPr>
          <w:szCs w:val="24"/>
        </w:rPr>
        <w:t xml:space="preserve"> and measure the “aggregate stock” of </w:t>
      </w:r>
      <w:r w:rsidR="00B3303D" w:rsidRPr="00605672">
        <w:rPr>
          <w:szCs w:val="24"/>
        </w:rPr>
        <w:t xml:space="preserve">specific </w:t>
      </w:r>
      <w:r w:rsidR="001E1EBA" w:rsidRPr="00605672">
        <w:rPr>
          <w:szCs w:val="24"/>
        </w:rPr>
        <w:t xml:space="preserve">assets </w:t>
      </w:r>
      <w:r w:rsidR="006357E0" w:rsidRPr="00605672">
        <w:rPr>
          <w:szCs w:val="24"/>
        </w:rPr>
        <w:t xml:space="preserve">at the time of </w:t>
      </w:r>
      <w:r w:rsidR="006357E0" w:rsidRPr="00605672">
        <w:rPr>
          <w:szCs w:val="24"/>
        </w:rPr>
        <w:lastRenderedPageBreak/>
        <w:t>data collection.</w:t>
      </w:r>
      <w:r w:rsidR="00E61EC3">
        <w:rPr>
          <w:szCs w:val="24"/>
        </w:rPr>
        <w:t xml:space="preserve"> </w:t>
      </w:r>
      <w:r w:rsidR="009849E8" w:rsidRPr="00605672">
        <w:rPr>
          <w:szCs w:val="24"/>
        </w:rPr>
        <w:t xml:space="preserve">As </w:t>
      </w:r>
      <w:r w:rsidR="0069482A">
        <w:rPr>
          <w:szCs w:val="24"/>
        </w:rPr>
        <w:t xml:space="preserve">we </w:t>
      </w:r>
      <w:r w:rsidR="009849E8" w:rsidRPr="00605672">
        <w:rPr>
          <w:szCs w:val="24"/>
        </w:rPr>
        <w:t xml:space="preserve">discussed </w:t>
      </w:r>
      <w:r w:rsidR="0069482A">
        <w:rPr>
          <w:szCs w:val="24"/>
        </w:rPr>
        <w:t>previously</w:t>
      </w:r>
      <w:r w:rsidR="009849E8" w:rsidRPr="00605672">
        <w:rPr>
          <w:szCs w:val="24"/>
        </w:rPr>
        <w:t xml:space="preserve">, </w:t>
      </w:r>
      <w:r w:rsidR="00B3303D" w:rsidRPr="00605672">
        <w:rPr>
          <w:szCs w:val="24"/>
        </w:rPr>
        <w:t xml:space="preserve">our focus is on the asymmetry in the parties’ investments. Specifically, it is </w:t>
      </w:r>
      <w:r w:rsidR="009849E8" w:rsidRPr="00605672">
        <w:rPr>
          <w:szCs w:val="24"/>
        </w:rPr>
        <w:t xml:space="preserve">the level of </w:t>
      </w:r>
      <w:r w:rsidR="00256904" w:rsidRPr="00605672">
        <w:rPr>
          <w:szCs w:val="24"/>
        </w:rPr>
        <w:t xml:space="preserve">investments </w:t>
      </w:r>
      <w:r w:rsidR="00245EF4" w:rsidRPr="00605672">
        <w:rPr>
          <w:szCs w:val="24"/>
        </w:rPr>
        <w:t xml:space="preserve">made </w:t>
      </w:r>
      <w:r w:rsidR="009849E8" w:rsidRPr="00605672">
        <w:rPr>
          <w:szCs w:val="24"/>
        </w:rPr>
        <w:t xml:space="preserve">by the reseller </w:t>
      </w:r>
      <w:r w:rsidR="00AA5B5D" w:rsidRPr="00727D37">
        <w:rPr>
          <w:szCs w:val="24"/>
        </w:rPr>
        <w:t xml:space="preserve">relative </w:t>
      </w:r>
      <w:r w:rsidR="000F7B0C" w:rsidRPr="0069482A">
        <w:rPr>
          <w:szCs w:val="24"/>
        </w:rPr>
        <w:t xml:space="preserve">to that of the supplier </w:t>
      </w:r>
      <w:r w:rsidR="00B3303D" w:rsidRPr="0069482A">
        <w:rPr>
          <w:szCs w:val="24"/>
        </w:rPr>
        <w:t>that</w:t>
      </w:r>
      <w:r w:rsidR="0097250A" w:rsidRPr="0069482A">
        <w:rPr>
          <w:szCs w:val="24"/>
        </w:rPr>
        <w:t xml:space="preserve"> safeguards the supplier and induces cooperation</w:t>
      </w:r>
      <w:r w:rsidR="006357E0" w:rsidRPr="0069482A">
        <w:rPr>
          <w:szCs w:val="24"/>
        </w:rPr>
        <w:t xml:space="preserve"> by the reseller</w:t>
      </w:r>
      <w:r w:rsidR="003A275F" w:rsidRPr="0069482A">
        <w:rPr>
          <w:szCs w:val="24"/>
        </w:rPr>
        <w:t xml:space="preserve">. </w:t>
      </w:r>
      <w:r w:rsidR="00256904" w:rsidRPr="0069482A">
        <w:rPr>
          <w:szCs w:val="24"/>
        </w:rPr>
        <w:t xml:space="preserve">To capture </w:t>
      </w:r>
      <w:r w:rsidR="009849E8" w:rsidRPr="0069482A">
        <w:rPr>
          <w:szCs w:val="24"/>
        </w:rPr>
        <w:t>th</w:t>
      </w:r>
      <w:r w:rsidR="00763CBE" w:rsidRPr="0069482A">
        <w:rPr>
          <w:szCs w:val="24"/>
        </w:rPr>
        <w:t>is</w:t>
      </w:r>
      <w:r w:rsidR="009849E8" w:rsidRPr="0069482A">
        <w:rPr>
          <w:szCs w:val="24"/>
        </w:rPr>
        <w:t xml:space="preserve"> </w:t>
      </w:r>
      <w:r w:rsidR="00B3303D" w:rsidRPr="0069482A">
        <w:rPr>
          <w:szCs w:val="24"/>
        </w:rPr>
        <w:t>asymmetry</w:t>
      </w:r>
      <w:r w:rsidR="009849E8" w:rsidRPr="0069482A">
        <w:rPr>
          <w:szCs w:val="24"/>
        </w:rPr>
        <w:t xml:space="preserve">, </w:t>
      </w:r>
      <w:r w:rsidR="00256904" w:rsidRPr="0069482A">
        <w:rPr>
          <w:szCs w:val="24"/>
        </w:rPr>
        <w:t>w</w:t>
      </w:r>
      <w:r w:rsidR="00D63D40" w:rsidRPr="0069482A">
        <w:rPr>
          <w:szCs w:val="24"/>
        </w:rPr>
        <w:t xml:space="preserve">e subtract </w:t>
      </w:r>
      <w:r w:rsidR="00C61F76" w:rsidRPr="0069482A">
        <w:rPr>
          <w:szCs w:val="24"/>
        </w:rPr>
        <w:t xml:space="preserve">supplier </w:t>
      </w:r>
      <w:r w:rsidR="00D63D40" w:rsidRPr="0069482A">
        <w:rPr>
          <w:szCs w:val="24"/>
        </w:rPr>
        <w:t xml:space="preserve">investments from </w:t>
      </w:r>
      <w:r w:rsidR="00C61F76" w:rsidRPr="0069482A">
        <w:rPr>
          <w:szCs w:val="24"/>
        </w:rPr>
        <w:t xml:space="preserve">reseller </w:t>
      </w:r>
      <w:r w:rsidR="00D63D40" w:rsidRPr="0069482A">
        <w:rPr>
          <w:szCs w:val="24"/>
        </w:rPr>
        <w:t>investments</w:t>
      </w:r>
      <w:r w:rsidR="001162B9" w:rsidRPr="0069482A">
        <w:rPr>
          <w:szCs w:val="24"/>
        </w:rPr>
        <w:t xml:space="preserve"> at time</w:t>
      </w:r>
      <w:r w:rsidR="00E61EC3">
        <w:rPr>
          <w:szCs w:val="24"/>
        </w:rPr>
        <w:t xml:space="preserve"> </w:t>
      </w:r>
      <w:r w:rsidR="001162B9" w:rsidRPr="0069482A">
        <w:rPr>
          <w:szCs w:val="24"/>
        </w:rPr>
        <w:t>1</w:t>
      </w:r>
      <w:r w:rsidR="00E61EC3">
        <w:rPr>
          <w:szCs w:val="24"/>
        </w:rPr>
        <w:t xml:space="preserve"> and </w:t>
      </w:r>
      <w:r w:rsidR="0097250A" w:rsidRPr="0069482A">
        <w:rPr>
          <w:szCs w:val="24"/>
        </w:rPr>
        <w:t xml:space="preserve">label </w:t>
      </w:r>
      <w:r w:rsidR="00E61EC3">
        <w:rPr>
          <w:szCs w:val="24"/>
        </w:rPr>
        <w:t xml:space="preserve">the measure </w:t>
      </w:r>
      <w:r w:rsidR="00256904" w:rsidRPr="0069482A">
        <w:rPr>
          <w:szCs w:val="24"/>
        </w:rPr>
        <w:t>INVDIFF</w:t>
      </w:r>
      <w:r w:rsidR="00E61EC3">
        <w:rPr>
          <w:szCs w:val="24"/>
        </w:rPr>
        <w:t>.</w:t>
      </w:r>
      <w:r w:rsidR="003F5110" w:rsidRPr="0069482A">
        <w:rPr>
          <w:rStyle w:val="FootnoteReference"/>
          <w:szCs w:val="24"/>
        </w:rPr>
        <w:footnoteReference w:id="4"/>
      </w:r>
      <w:r w:rsidR="00D94025" w:rsidRPr="0069482A">
        <w:rPr>
          <w:szCs w:val="24"/>
        </w:rPr>
        <w:t xml:space="preserve"> </w:t>
      </w:r>
      <w:r w:rsidR="000F7B0C" w:rsidRPr="0069482A">
        <w:rPr>
          <w:szCs w:val="24"/>
        </w:rPr>
        <w:t xml:space="preserve">Larger values of INVDIFF </w:t>
      </w:r>
      <w:r w:rsidR="00E61EC3">
        <w:rPr>
          <w:szCs w:val="24"/>
        </w:rPr>
        <w:t xml:space="preserve">indicate </w:t>
      </w:r>
      <w:r w:rsidR="000F7B0C" w:rsidRPr="0069482A">
        <w:rPr>
          <w:szCs w:val="24"/>
        </w:rPr>
        <w:t xml:space="preserve">increasingly </w:t>
      </w:r>
      <w:r w:rsidR="00E77465" w:rsidRPr="0069482A">
        <w:rPr>
          <w:szCs w:val="24"/>
        </w:rPr>
        <w:t xml:space="preserve">larger </w:t>
      </w:r>
      <w:r w:rsidR="00AA5B5D" w:rsidRPr="00727D37">
        <w:rPr>
          <w:szCs w:val="24"/>
        </w:rPr>
        <w:t>mutual asymmetric investments</w:t>
      </w:r>
      <w:r w:rsidR="00245EF4" w:rsidRPr="00605672">
        <w:rPr>
          <w:i/>
          <w:szCs w:val="24"/>
        </w:rPr>
        <w:t xml:space="preserve"> </w:t>
      </w:r>
      <w:r w:rsidR="000F7B0C" w:rsidRPr="00605672">
        <w:rPr>
          <w:szCs w:val="24"/>
        </w:rPr>
        <w:t xml:space="preserve">in the </w:t>
      </w:r>
      <w:r w:rsidR="00D04570" w:rsidRPr="00605672">
        <w:rPr>
          <w:szCs w:val="24"/>
        </w:rPr>
        <w:t xml:space="preserve">supplier’s </w:t>
      </w:r>
      <w:r w:rsidR="000F7B0C" w:rsidRPr="00605672">
        <w:rPr>
          <w:szCs w:val="24"/>
        </w:rPr>
        <w:t xml:space="preserve">favor. </w:t>
      </w:r>
      <w:r w:rsidR="00E61EC3">
        <w:rPr>
          <w:szCs w:val="24"/>
        </w:rPr>
        <w:t xml:space="preserve">We </w:t>
      </w:r>
      <w:r w:rsidR="00A02C3D" w:rsidRPr="00605672">
        <w:rPr>
          <w:szCs w:val="24"/>
        </w:rPr>
        <w:t>control</w:t>
      </w:r>
      <w:r w:rsidR="00642B4C" w:rsidRPr="00605672">
        <w:rPr>
          <w:szCs w:val="24"/>
        </w:rPr>
        <w:t xml:space="preserve"> for the level of supplier investments</w:t>
      </w:r>
      <w:r w:rsidR="007F55F7" w:rsidRPr="00605672">
        <w:rPr>
          <w:szCs w:val="24"/>
        </w:rPr>
        <w:t xml:space="preserve"> (</w:t>
      </w:r>
      <w:r w:rsidR="00C01960" w:rsidRPr="00605672">
        <w:rPr>
          <w:szCs w:val="24"/>
        </w:rPr>
        <w:t>SINVT1</w:t>
      </w:r>
      <w:r w:rsidR="007F55F7" w:rsidRPr="00605672">
        <w:rPr>
          <w:szCs w:val="24"/>
        </w:rPr>
        <w:t>)</w:t>
      </w:r>
      <w:r w:rsidR="00642B4C" w:rsidRPr="00605672">
        <w:rPr>
          <w:szCs w:val="24"/>
        </w:rPr>
        <w:t xml:space="preserve">, </w:t>
      </w:r>
      <w:r w:rsidR="00E61EC3">
        <w:rPr>
          <w:szCs w:val="24"/>
        </w:rPr>
        <w:t xml:space="preserve">so </w:t>
      </w:r>
      <w:r w:rsidR="00642B4C" w:rsidRPr="00605672">
        <w:rPr>
          <w:szCs w:val="24"/>
        </w:rPr>
        <w:t xml:space="preserve">INVDIFF captures the investment differential </w:t>
      </w:r>
      <w:r w:rsidR="00E61EC3">
        <w:rPr>
          <w:szCs w:val="24"/>
        </w:rPr>
        <w:t xml:space="preserve">after </w:t>
      </w:r>
      <w:r w:rsidR="00642B4C" w:rsidRPr="00605672">
        <w:rPr>
          <w:szCs w:val="24"/>
        </w:rPr>
        <w:t xml:space="preserve">accounting for the </w:t>
      </w:r>
      <w:r w:rsidR="00433C5A" w:rsidRPr="00605672">
        <w:rPr>
          <w:szCs w:val="24"/>
        </w:rPr>
        <w:t xml:space="preserve">absolute </w:t>
      </w:r>
      <w:r w:rsidR="00642B4C" w:rsidRPr="00605672">
        <w:rPr>
          <w:szCs w:val="24"/>
        </w:rPr>
        <w:t xml:space="preserve">level of </w:t>
      </w:r>
      <w:r w:rsidR="00433C5A" w:rsidRPr="00605672">
        <w:rPr>
          <w:szCs w:val="24"/>
        </w:rPr>
        <w:t xml:space="preserve">supplier </w:t>
      </w:r>
      <w:r w:rsidR="00642B4C" w:rsidRPr="00605672">
        <w:rPr>
          <w:szCs w:val="24"/>
        </w:rPr>
        <w:t>investments.</w:t>
      </w:r>
    </w:p>
    <w:p w14:paraId="34F6E68F" w14:textId="20362FAF" w:rsidR="00E94A67" w:rsidRPr="00605672" w:rsidRDefault="00E94A67" w:rsidP="00E94A67">
      <w:pPr>
        <w:pStyle w:val="Bodytext"/>
        <w:jc w:val="left"/>
        <w:rPr>
          <w:szCs w:val="24"/>
        </w:rPr>
      </w:pPr>
      <w:r w:rsidRPr="00605672">
        <w:rPr>
          <w:i/>
          <w:szCs w:val="24"/>
        </w:rPr>
        <w:t xml:space="preserve">Reseller </w:t>
      </w:r>
      <w:r w:rsidR="002C0CCC" w:rsidRPr="00605672">
        <w:rPr>
          <w:i/>
          <w:szCs w:val="24"/>
        </w:rPr>
        <w:t>s</w:t>
      </w:r>
      <w:r w:rsidR="0089722F" w:rsidRPr="00605672">
        <w:rPr>
          <w:i/>
          <w:szCs w:val="24"/>
        </w:rPr>
        <w:t>election</w:t>
      </w:r>
      <w:r w:rsidRPr="00605672">
        <w:rPr>
          <w:i/>
          <w:szCs w:val="24"/>
        </w:rPr>
        <w:t xml:space="preserve"> </w:t>
      </w:r>
      <w:r w:rsidR="002C0CCC" w:rsidRPr="00605672">
        <w:rPr>
          <w:i/>
          <w:szCs w:val="24"/>
        </w:rPr>
        <w:t>e</w:t>
      </w:r>
      <w:r w:rsidRPr="00605672">
        <w:rPr>
          <w:i/>
          <w:szCs w:val="24"/>
        </w:rPr>
        <w:t xml:space="preserve">fforts </w:t>
      </w:r>
      <w:r w:rsidRPr="00605672">
        <w:rPr>
          <w:szCs w:val="24"/>
        </w:rPr>
        <w:t>(</w:t>
      </w:r>
      <w:r w:rsidR="003B7993" w:rsidRPr="00605672">
        <w:rPr>
          <w:color w:val="000000"/>
        </w:rPr>
        <w:t>SSEL</w:t>
      </w:r>
      <w:r w:rsidRPr="00605672">
        <w:rPr>
          <w:color w:val="000000"/>
        </w:rPr>
        <w:t xml:space="preserve">T1, </w:t>
      </w:r>
      <w:r w:rsidRPr="00605672">
        <w:rPr>
          <w:i/>
          <w:szCs w:val="24"/>
        </w:rPr>
        <w:t>Time 1, Supplier</w:t>
      </w:r>
      <w:r w:rsidRPr="00605672">
        <w:rPr>
          <w:szCs w:val="24"/>
        </w:rPr>
        <w:t>). This scale describes the selection efforts undertaken by the supplier to verify the qualities of the focal reseller at the time the relationship was first established.</w:t>
      </w:r>
      <w:r w:rsidR="008E16D2" w:rsidRPr="00605672">
        <w:rPr>
          <w:rStyle w:val="FootnoteReference"/>
          <w:szCs w:val="24"/>
        </w:rPr>
        <w:footnoteReference w:id="5"/>
      </w:r>
      <w:r w:rsidRPr="00605672">
        <w:rPr>
          <w:szCs w:val="24"/>
        </w:rPr>
        <w:t xml:space="preserve"> Specifically, it</w:t>
      </w:r>
      <w:r w:rsidR="001E0440" w:rsidRPr="00605672">
        <w:rPr>
          <w:szCs w:val="24"/>
        </w:rPr>
        <w:t xml:space="preserve"> measures the extent </w:t>
      </w:r>
      <w:r w:rsidR="00E61EC3">
        <w:rPr>
          <w:szCs w:val="24"/>
        </w:rPr>
        <w:t xml:space="preserve">to which the supplier undertook </w:t>
      </w:r>
      <w:r w:rsidR="001E0440" w:rsidRPr="00605672">
        <w:rPr>
          <w:szCs w:val="24"/>
        </w:rPr>
        <w:t xml:space="preserve">formal </w:t>
      </w:r>
      <w:r w:rsidR="00D52203" w:rsidRPr="00605672">
        <w:rPr>
          <w:szCs w:val="24"/>
        </w:rPr>
        <w:t>qualification</w:t>
      </w:r>
      <w:r w:rsidR="00E61EC3">
        <w:rPr>
          <w:szCs w:val="24"/>
        </w:rPr>
        <w:t xml:space="preserve">s </w:t>
      </w:r>
      <w:r w:rsidRPr="00605672">
        <w:rPr>
          <w:szCs w:val="24"/>
        </w:rPr>
        <w:t>o</w:t>
      </w:r>
      <w:r w:rsidR="00D52203" w:rsidRPr="00605672">
        <w:rPr>
          <w:szCs w:val="24"/>
        </w:rPr>
        <w:t>f</w:t>
      </w:r>
      <w:r w:rsidRPr="00605672">
        <w:rPr>
          <w:szCs w:val="24"/>
        </w:rPr>
        <w:t xml:space="preserve"> </w:t>
      </w:r>
      <w:r w:rsidR="00E61EC3">
        <w:rPr>
          <w:szCs w:val="24"/>
        </w:rPr>
        <w:t xml:space="preserve">the </w:t>
      </w:r>
      <w:r w:rsidR="00D52203" w:rsidRPr="00605672">
        <w:rPr>
          <w:szCs w:val="24"/>
        </w:rPr>
        <w:t>reseller</w:t>
      </w:r>
      <w:r w:rsidR="00E61EC3">
        <w:rPr>
          <w:szCs w:val="24"/>
        </w:rPr>
        <w:t>’s</w:t>
      </w:r>
      <w:r w:rsidR="00D52203" w:rsidRPr="00605672">
        <w:rPr>
          <w:szCs w:val="24"/>
        </w:rPr>
        <w:t xml:space="preserve"> </w:t>
      </w:r>
      <w:r w:rsidRPr="00605672">
        <w:rPr>
          <w:szCs w:val="24"/>
        </w:rPr>
        <w:t xml:space="preserve">ability attributes. The items are based on those used by Wathne and Heide </w:t>
      </w:r>
      <w:r w:rsidR="00AA5B5D" w:rsidRPr="00605672">
        <w:rPr>
          <w:szCs w:val="24"/>
        </w:rPr>
        <w:fldChar w:fldCharType="begin"/>
      </w:r>
      <w:r w:rsidRPr="00605672">
        <w:rPr>
          <w:szCs w:val="24"/>
        </w:rPr>
        <w:instrText xml:space="preserve"> ADDIN EN.CITE &lt;EndNote&gt;&lt;Cite ExcludeAuth="1"&gt;&lt;Year&gt;2004&lt;/Year&gt;&lt;RecNum&gt;1400&lt;/RecNum&gt;&lt;record&gt;&lt;rec-number&gt;1400&lt;/rec-number&gt;&lt;foreign-keys&gt;&lt;key app="EN" db-id="ssraf95pgs2af9erzvi5ztaba2trtwdfwv05"&gt;1400&lt;/key&gt;&lt;/foreign-keys&gt;&lt;ref-type name="Journal Article"&gt;17&lt;/ref-type&gt;&lt;contributors&gt;&lt;authors&gt;&lt;author&gt;Wathne, Kenneth H.&lt;/author&gt;&lt;author&gt;Heide, Jan B.&lt;/author&gt;&lt;/authors&gt;&lt;/contributors&gt;&lt;titles&gt;&lt;title&gt;Relationship Governance in a Supply Chain Network&lt;/title&gt;&lt;secondary-title&gt;Journal of Marketing&lt;/secondary-title&gt;&lt;/titles&gt;&lt;periodical&gt;&lt;full-title&gt;Journal of Marketing&lt;/full-title&gt;&lt;/periodical&gt;&lt;pages&gt;73-89&lt;/pages&gt;&lt;volume&gt;68&lt;/volume&gt;&lt;number&gt;1&lt;/number&gt;&lt;dates&gt;&lt;year&gt;2004&lt;/year&gt;&lt;/dates&gt;&lt;urls&gt;&lt;/urls&gt;&lt;/record&gt;&lt;/Cite&gt;&lt;/EndNote&gt;</w:instrText>
      </w:r>
      <w:r w:rsidR="00AA5B5D" w:rsidRPr="00605672">
        <w:rPr>
          <w:szCs w:val="24"/>
        </w:rPr>
        <w:fldChar w:fldCharType="separate"/>
      </w:r>
      <w:r w:rsidRPr="00605672">
        <w:rPr>
          <w:szCs w:val="24"/>
        </w:rPr>
        <w:t>(2004)</w:t>
      </w:r>
      <w:r w:rsidR="00AA5B5D" w:rsidRPr="00605672">
        <w:rPr>
          <w:szCs w:val="24"/>
        </w:rPr>
        <w:fldChar w:fldCharType="end"/>
      </w:r>
      <w:r w:rsidRPr="00605672">
        <w:rPr>
          <w:szCs w:val="24"/>
        </w:rPr>
        <w:t xml:space="preserve">. </w:t>
      </w:r>
    </w:p>
    <w:p w14:paraId="7EF7C094" w14:textId="2547817F" w:rsidR="00FB3B98" w:rsidRPr="00605672" w:rsidRDefault="00FB3B98" w:rsidP="00FB3B98">
      <w:pPr>
        <w:pStyle w:val="Bodytext"/>
        <w:jc w:val="left"/>
        <w:rPr>
          <w:szCs w:val="24"/>
        </w:rPr>
      </w:pPr>
      <w:r w:rsidRPr="00605672">
        <w:rPr>
          <w:i/>
          <w:szCs w:val="24"/>
        </w:rPr>
        <w:t>Control variables</w:t>
      </w:r>
      <w:r w:rsidRPr="00605672">
        <w:rPr>
          <w:szCs w:val="24"/>
        </w:rPr>
        <w:t>. In addition to the focal theoretical variables</w:t>
      </w:r>
      <w:r w:rsidR="00E61EC3">
        <w:rPr>
          <w:szCs w:val="24"/>
        </w:rPr>
        <w:t>,</w:t>
      </w:r>
      <w:r w:rsidRPr="00605672">
        <w:rPr>
          <w:szCs w:val="24"/>
        </w:rPr>
        <w:t xml:space="preserve"> we include an extensive set of control variables.</w:t>
      </w:r>
      <w:r w:rsidR="00E61EC3">
        <w:rPr>
          <w:szCs w:val="24"/>
        </w:rPr>
        <w:t xml:space="preserve"> Specifically,</w:t>
      </w:r>
      <w:r w:rsidRPr="00605672">
        <w:rPr>
          <w:szCs w:val="24"/>
        </w:rPr>
        <w:t xml:space="preserve"> we </w:t>
      </w:r>
      <w:r w:rsidR="00E61EC3">
        <w:rPr>
          <w:szCs w:val="24"/>
        </w:rPr>
        <w:t xml:space="preserve">control for </w:t>
      </w:r>
      <w:r w:rsidRPr="00605672">
        <w:rPr>
          <w:szCs w:val="24"/>
        </w:rPr>
        <w:t>reseller</w:t>
      </w:r>
      <w:r w:rsidR="00A64C73" w:rsidRPr="00605672">
        <w:rPr>
          <w:szCs w:val="24"/>
        </w:rPr>
        <w:t xml:space="preserve"> incremental</w:t>
      </w:r>
      <w:r w:rsidRPr="00605672">
        <w:rPr>
          <w:szCs w:val="24"/>
        </w:rPr>
        <w:t xml:space="preserve"> </w:t>
      </w:r>
      <w:r w:rsidR="00FE2942" w:rsidRPr="00605672">
        <w:rPr>
          <w:szCs w:val="24"/>
        </w:rPr>
        <w:t xml:space="preserve">investments </w:t>
      </w:r>
      <w:r w:rsidRPr="00605672">
        <w:rPr>
          <w:szCs w:val="24"/>
        </w:rPr>
        <w:t>at time 2 (</w:t>
      </w:r>
      <w:r w:rsidR="00C01960" w:rsidRPr="00605672">
        <w:rPr>
          <w:szCs w:val="24"/>
        </w:rPr>
        <w:t>RINVT2</w:t>
      </w:r>
      <w:r w:rsidRPr="00605672">
        <w:rPr>
          <w:szCs w:val="24"/>
        </w:rPr>
        <w:t>,</w:t>
      </w:r>
      <w:r w:rsidRPr="00605672">
        <w:rPr>
          <w:i/>
          <w:szCs w:val="24"/>
        </w:rPr>
        <w:t xml:space="preserve"> Time 2</w:t>
      </w:r>
      <w:r w:rsidRPr="00605672">
        <w:rPr>
          <w:szCs w:val="24"/>
        </w:rPr>
        <w:t>,</w:t>
      </w:r>
      <w:r w:rsidRPr="00605672">
        <w:rPr>
          <w:i/>
          <w:szCs w:val="24"/>
        </w:rPr>
        <w:t xml:space="preserve"> Supplier</w:t>
      </w:r>
      <w:r w:rsidRPr="00605672">
        <w:rPr>
          <w:szCs w:val="24"/>
        </w:rPr>
        <w:t xml:space="preserve">), as well as the </w:t>
      </w:r>
      <w:r w:rsidR="0089722F" w:rsidRPr="00605672">
        <w:rPr>
          <w:szCs w:val="24"/>
        </w:rPr>
        <w:t>selection</w:t>
      </w:r>
      <w:r w:rsidRPr="00605672">
        <w:rPr>
          <w:szCs w:val="24"/>
        </w:rPr>
        <w:t xml:space="preserve"> efforts undertaken by the reseller </w:t>
      </w:r>
      <w:r w:rsidR="00E61EC3">
        <w:rPr>
          <w:szCs w:val="24"/>
        </w:rPr>
        <w:t xml:space="preserve">reported </w:t>
      </w:r>
      <w:r w:rsidRPr="00605672">
        <w:rPr>
          <w:szCs w:val="24"/>
        </w:rPr>
        <w:t>at time 1 (</w:t>
      </w:r>
      <w:r w:rsidR="003B7993" w:rsidRPr="00605672">
        <w:rPr>
          <w:szCs w:val="24"/>
        </w:rPr>
        <w:t>RSEL</w:t>
      </w:r>
      <w:r w:rsidR="00C01960" w:rsidRPr="00605672">
        <w:rPr>
          <w:szCs w:val="24"/>
        </w:rPr>
        <w:t>T1</w:t>
      </w:r>
      <w:r w:rsidRPr="00605672">
        <w:rPr>
          <w:color w:val="000000"/>
        </w:rPr>
        <w:t xml:space="preserve">, </w:t>
      </w:r>
      <w:r w:rsidRPr="00605672">
        <w:rPr>
          <w:i/>
          <w:color w:val="000000"/>
        </w:rPr>
        <w:t>Time 1</w:t>
      </w:r>
      <w:r w:rsidRPr="00605672">
        <w:rPr>
          <w:color w:val="000000"/>
        </w:rPr>
        <w:t xml:space="preserve">, </w:t>
      </w:r>
      <w:r w:rsidRPr="00605672">
        <w:rPr>
          <w:i/>
          <w:color w:val="000000"/>
        </w:rPr>
        <w:t>Reseller</w:t>
      </w:r>
      <w:r w:rsidRPr="00605672">
        <w:rPr>
          <w:color w:val="000000"/>
        </w:rPr>
        <w:t xml:space="preserve">). </w:t>
      </w:r>
      <w:r w:rsidRPr="00605672">
        <w:rPr>
          <w:szCs w:val="24"/>
        </w:rPr>
        <w:t xml:space="preserve">To capture the </w:t>
      </w:r>
      <w:r w:rsidR="00A64C73" w:rsidRPr="00605672">
        <w:rPr>
          <w:szCs w:val="24"/>
        </w:rPr>
        <w:t>relationship</w:t>
      </w:r>
      <w:r w:rsidR="00B3303D" w:rsidRPr="00605672">
        <w:rPr>
          <w:szCs w:val="24"/>
        </w:rPr>
        <w:t xml:space="preserve">’s </w:t>
      </w:r>
      <w:r w:rsidRPr="00605672">
        <w:rPr>
          <w:szCs w:val="24"/>
        </w:rPr>
        <w:t>power structure,</w:t>
      </w:r>
      <w:r w:rsidR="005A616B" w:rsidRPr="00605672">
        <w:rPr>
          <w:szCs w:val="24"/>
        </w:rPr>
        <w:t xml:space="preserve"> </w:t>
      </w:r>
      <w:r w:rsidRPr="00605672">
        <w:rPr>
          <w:szCs w:val="24"/>
        </w:rPr>
        <w:t xml:space="preserve">we include measures of relative firm size, </w:t>
      </w:r>
      <w:r w:rsidR="00E61EC3">
        <w:rPr>
          <w:szCs w:val="24"/>
        </w:rPr>
        <w:t xml:space="preserve">exchange </w:t>
      </w:r>
      <w:r w:rsidRPr="00605672">
        <w:rPr>
          <w:szCs w:val="24"/>
        </w:rPr>
        <w:t xml:space="preserve">concentration, </w:t>
      </w:r>
      <w:r w:rsidR="00A90C00" w:rsidRPr="00605672">
        <w:rPr>
          <w:szCs w:val="24"/>
        </w:rPr>
        <w:t xml:space="preserve">and </w:t>
      </w:r>
      <w:r w:rsidR="00286164" w:rsidRPr="00605672">
        <w:rPr>
          <w:szCs w:val="24"/>
        </w:rPr>
        <w:t xml:space="preserve">supplier </w:t>
      </w:r>
      <w:r w:rsidRPr="00605672">
        <w:rPr>
          <w:szCs w:val="24"/>
        </w:rPr>
        <w:t xml:space="preserve">replaceability. </w:t>
      </w:r>
      <w:r w:rsidR="00A90C00" w:rsidRPr="00605672">
        <w:rPr>
          <w:szCs w:val="24"/>
        </w:rPr>
        <w:t>W</w:t>
      </w:r>
      <w:r w:rsidRPr="00605672">
        <w:rPr>
          <w:szCs w:val="24"/>
        </w:rPr>
        <w:t xml:space="preserve">e </w:t>
      </w:r>
      <w:r w:rsidR="00A90C00" w:rsidRPr="00605672">
        <w:rPr>
          <w:szCs w:val="24"/>
        </w:rPr>
        <w:t xml:space="preserve">also </w:t>
      </w:r>
      <w:r w:rsidR="00E61EC3">
        <w:rPr>
          <w:szCs w:val="24"/>
        </w:rPr>
        <w:t xml:space="preserve">address </w:t>
      </w:r>
      <w:r w:rsidRPr="00605672">
        <w:rPr>
          <w:szCs w:val="24"/>
        </w:rPr>
        <w:t>two measures of uncertainty experienced by the reseller: demand unpredictability</w:t>
      </w:r>
      <w:r w:rsidR="00D94025" w:rsidRPr="00605672">
        <w:rPr>
          <w:szCs w:val="24"/>
        </w:rPr>
        <w:t xml:space="preserve"> (i.e., </w:t>
      </w:r>
      <w:r w:rsidRPr="00605672">
        <w:rPr>
          <w:szCs w:val="24"/>
        </w:rPr>
        <w:t>uncertainty faced by the reseller in its downstream market</w:t>
      </w:r>
      <w:r w:rsidR="00D94025" w:rsidRPr="00605672">
        <w:rPr>
          <w:szCs w:val="24"/>
        </w:rPr>
        <w:t>)</w:t>
      </w:r>
      <w:r w:rsidRPr="00605672">
        <w:rPr>
          <w:szCs w:val="24"/>
        </w:rPr>
        <w:t xml:space="preserve"> and order unpredictability</w:t>
      </w:r>
      <w:r w:rsidR="00D94025" w:rsidRPr="00605672">
        <w:rPr>
          <w:szCs w:val="24"/>
        </w:rPr>
        <w:t xml:space="preserve"> (i.e., </w:t>
      </w:r>
      <w:r w:rsidR="00B3303D" w:rsidRPr="00605672">
        <w:rPr>
          <w:szCs w:val="24"/>
        </w:rPr>
        <w:t xml:space="preserve">reseller’s </w:t>
      </w:r>
      <w:r w:rsidRPr="00605672">
        <w:rPr>
          <w:szCs w:val="24"/>
        </w:rPr>
        <w:t>difficulty in predicting ord</w:t>
      </w:r>
      <w:r w:rsidR="003D1A77" w:rsidRPr="00605672">
        <w:rPr>
          <w:szCs w:val="24"/>
        </w:rPr>
        <w:t>ers from the upstream supplier</w:t>
      </w:r>
      <w:r w:rsidR="00D94025" w:rsidRPr="00605672">
        <w:rPr>
          <w:szCs w:val="24"/>
        </w:rPr>
        <w:t>)</w:t>
      </w:r>
      <w:r w:rsidR="003D1A77" w:rsidRPr="00605672">
        <w:rPr>
          <w:szCs w:val="24"/>
        </w:rPr>
        <w:t>.</w:t>
      </w:r>
      <w:r w:rsidR="00A90C00" w:rsidRPr="00605672">
        <w:rPr>
          <w:szCs w:val="24"/>
        </w:rPr>
        <w:t xml:space="preserve"> In addition, </w:t>
      </w:r>
      <w:r w:rsidR="00A90C00" w:rsidRPr="00605672">
        <w:t xml:space="preserve">we </w:t>
      </w:r>
      <w:r w:rsidR="00E61EC3">
        <w:t xml:space="preserve">use </w:t>
      </w:r>
      <w:r w:rsidR="00A20A18" w:rsidRPr="00605672">
        <w:lastRenderedPageBreak/>
        <w:t xml:space="preserve">measures of </w:t>
      </w:r>
      <w:r w:rsidR="00AC7154" w:rsidRPr="00605672">
        <w:t>supplier</w:t>
      </w:r>
      <w:r w:rsidR="00637F1A" w:rsidRPr="00605672">
        <w:t xml:space="preserve"> perceived competition, </w:t>
      </w:r>
      <w:r w:rsidR="00AC7154" w:rsidRPr="00605672">
        <w:t>reseller</w:t>
      </w:r>
      <w:r w:rsidR="00637F1A" w:rsidRPr="00605672">
        <w:t xml:space="preserve"> perceived competition, </w:t>
      </w:r>
      <w:r w:rsidR="00AC7154" w:rsidRPr="00605672">
        <w:t xml:space="preserve">the number of supplier and reseller employees, the type of agreement (a dummy </w:t>
      </w:r>
      <w:r w:rsidR="00E61EC3">
        <w:t xml:space="preserve">variable, </w:t>
      </w:r>
      <w:r w:rsidR="00AC7154" w:rsidRPr="00605672">
        <w:t>indicating if individual orders or a sourcing agreement for</w:t>
      </w:r>
      <w:r w:rsidR="00882F70" w:rsidRPr="00605672">
        <w:t>m</w:t>
      </w:r>
      <w:r w:rsidR="00AC7154" w:rsidRPr="00605672">
        <w:t xml:space="preserve"> the basis of the relationship), and demand uncertainty</w:t>
      </w:r>
      <w:r w:rsidR="00654FAE" w:rsidRPr="00605672">
        <w:t xml:space="preserve"> (i.e., difficulty faced by the supplier in forecasting sales to the focal reseller)</w:t>
      </w:r>
      <w:r w:rsidR="00AC7154" w:rsidRPr="00605672">
        <w:t>.</w:t>
      </w:r>
    </w:p>
    <w:p w14:paraId="01A3FCA8" w14:textId="77777777" w:rsidR="00FB3B98" w:rsidRPr="00605672" w:rsidRDefault="00FB3B98" w:rsidP="00FB3B98">
      <w:pPr>
        <w:pStyle w:val="Bodytext"/>
        <w:spacing w:before="240"/>
        <w:ind w:firstLine="0"/>
        <w:jc w:val="left"/>
        <w:rPr>
          <w:i/>
          <w:szCs w:val="24"/>
        </w:rPr>
      </w:pPr>
      <w:r w:rsidRPr="00605672">
        <w:rPr>
          <w:i/>
          <w:szCs w:val="24"/>
        </w:rPr>
        <w:t>Construct Validity</w:t>
      </w:r>
    </w:p>
    <w:p w14:paraId="0B207B7F" w14:textId="415149E9" w:rsidR="00FB3B98" w:rsidRPr="00605672" w:rsidRDefault="00E61EC3" w:rsidP="00FB3B98">
      <w:pPr>
        <w:pStyle w:val="Bodytext"/>
        <w:jc w:val="left"/>
        <w:rPr>
          <w:szCs w:val="24"/>
        </w:rPr>
      </w:pPr>
      <w:r>
        <w:rPr>
          <w:szCs w:val="24"/>
        </w:rPr>
        <w:t xml:space="preserve">We subject all the </w:t>
      </w:r>
      <w:r w:rsidR="00FB3B98" w:rsidRPr="00605672">
        <w:rPr>
          <w:szCs w:val="24"/>
        </w:rPr>
        <w:t>reflective multi-item scales to assessment</w:t>
      </w:r>
      <w:r>
        <w:rPr>
          <w:szCs w:val="24"/>
        </w:rPr>
        <w:t>s</w:t>
      </w:r>
      <w:r w:rsidR="00FB3B98" w:rsidRPr="00605672">
        <w:rPr>
          <w:szCs w:val="24"/>
        </w:rPr>
        <w:t xml:space="preserve"> of </w:t>
      </w:r>
      <w:r>
        <w:rPr>
          <w:szCs w:val="24"/>
        </w:rPr>
        <w:t xml:space="preserve">their </w:t>
      </w:r>
      <w:r w:rsidR="00FB3B98" w:rsidRPr="00605672">
        <w:rPr>
          <w:szCs w:val="24"/>
        </w:rPr>
        <w:t xml:space="preserve">internal consistency and unidimensionality. First, </w:t>
      </w:r>
      <w:r>
        <w:rPr>
          <w:szCs w:val="24"/>
        </w:rPr>
        <w:t xml:space="preserve">we evaluate each </w:t>
      </w:r>
      <w:r w:rsidR="00FB3B98" w:rsidRPr="00605672">
        <w:rPr>
          <w:szCs w:val="24"/>
        </w:rPr>
        <w:t xml:space="preserve">item set </w:t>
      </w:r>
      <w:r>
        <w:rPr>
          <w:szCs w:val="24"/>
        </w:rPr>
        <w:t xml:space="preserve">with </w:t>
      </w:r>
      <w:r w:rsidR="00FB3B98" w:rsidRPr="00605672">
        <w:rPr>
          <w:szCs w:val="24"/>
        </w:rPr>
        <w:t>exploratory factor analys</w:t>
      </w:r>
      <w:r>
        <w:rPr>
          <w:szCs w:val="24"/>
        </w:rPr>
        <w:t>e</w:t>
      </w:r>
      <w:r w:rsidR="00FB3B98" w:rsidRPr="00605672">
        <w:rPr>
          <w:szCs w:val="24"/>
        </w:rPr>
        <w:t>s</w:t>
      </w:r>
      <w:r>
        <w:rPr>
          <w:szCs w:val="24"/>
        </w:rPr>
        <w:t xml:space="preserve"> to determine the </w:t>
      </w:r>
      <w:r w:rsidR="00FB3B98" w:rsidRPr="00605672">
        <w:rPr>
          <w:szCs w:val="24"/>
        </w:rPr>
        <w:t xml:space="preserve">interitem and item-to-total correlations. Second, we </w:t>
      </w:r>
      <w:r>
        <w:rPr>
          <w:szCs w:val="24"/>
        </w:rPr>
        <w:t xml:space="preserve">check </w:t>
      </w:r>
      <w:r w:rsidR="00FB3B98" w:rsidRPr="00605672">
        <w:rPr>
          <w:szCs w:val="24"/>
        </w:rPr>
        <w:t xml:space="preserve">the psychometric properties of all </w:t>
      </w:r>
      <w:r w:rsidR="0089722F" w:rsidRPr="00605672">
        <w:rPr>
          <w:szCs w:val="24"/>
        </w:rPr>
        <w:t xml:space="preserve">the </w:t>
      </w:r>
      <w:r w:rsidR="00FB3B98" w:rsidRPr="00605672">
        <w:rPr>
          <w:szCs w:val="24"/>
        </w:rPr>
        <w:t xml:space="preserve">scales simultaneously in a single confirmatory factor analysis. Due to the size of the </w:t>
      </w:r>
      <w:r>
        <w:rPr>
          <w:szCs w:val="24"/>
        </w:rPr>
        <w:t xml:space="preserve">overall </w:t>
      </w:r>
      <w:r w:rsidR="00FB3B98" w:rsidRPr="00605672">
        <w:rPr>
          <w:szCs w:val="24"/>
        </w:rPr>
        <w:t>item set (</w:t>
      </w:r>
      <w:r w:rsidR="00D63D40" w:rsidRPr="00605672">
        <w:rPr>
          <w:szCs w:val="24"/>
        </w:rPr>
        <w:t>37</w:t>
      </w:r>
      <w:r w:rsidR="00FB3B98" w:rsidRPr="00605672">
        <w:rPr>
          <w:szCs w:val="24"/>
        </w:rPr>
        <w:t>), we employ a partial disaggregation model</w:t>
      </w:r>
      <w:r w:rsidR="00E3745E" w:rsidRPr="00605672">
        <w:rPr>
          <w:szCs w:val="24"/>
        </w:rPr>
        <w:t>, grouping the theoretically most similar items (i.e., those worded most closely</w:t>
      </w:r>
      <w:r>
        <w:rPr>
          <w:szCs w:val="24"/>
        </w:rPr>
        <w:t xml:space="preserve"> alike</w:t>
      </w:r>
      <w:r w:rsidR="00E3745E" w:rsidRPr="00605672">
        <w:rPr>
          <w:szCs w:val="24"/>
        </w:rPr>
        <w:t xml:space="preserve">) in parcels, </w:t>
      </w:r>
      <w:r>
        <w:rPr>
          <w:szCs w:val="24"/>
        </w:rPr>
        <w:t xml:space="preserve">following </w:t>
      </w:r>
      <w:r w:rsidR="00FB3B98" w:rsidRPr="00605672">
        <w:rPr>
          <w:szCs w:val="24"/>
        </w:rPr>
        <w:t xml:space="preserve">the recommendation of Bagozzi and Heatherton </w:t>
      </w:r>
      <w:r w:rsidR="00AA5B5D" w:rsidRPr="00605672">
        <w:rPr>
          <w:szCs w:val="24"/>
        </w:rPr>
        <w:fldChar w:fldCharType="begin"/>
      </w:r>
      <w:r w:rsidR="00FB3B98" w:rsidRPr="00605672">
        <w:rPr>
          <w:szCs w:val="24"/>
        </w:rPr>
        <w:instrText xml:space="preserve"> ADDIN EN.CITE &lt;EndNote&gt;&lt;Cite ExcludeAuth="1"&gt;&lt;Year&gt;1994&lt;/Year&gt;&lt;RecNum&gt;1236&lt;/RecNum&gt;&lt;record&gt;&lt;rec-number&gt;1236&lt;/rec-number&gt;&lt;foreign-keys&gt;&lt;key app="EN" db-id="ssraf95pgs2af9erzvi5ztaba2trtwdfwv05"&gt;1236&lt;/key&gt;&lt;/foreign-keys&gt;&lt;ref-type name="Journal Article"&gt;17&lt;/ref-type&gt;&lt;contributors&gt;&lt;authors&gt;&lt;author&gt;Bagozzi, Richard P.&lt;/author&gt;&lt;author&gt;Heatherton, Todd F.&lt;/author&gt;&lt;/authors&gt;&lt;/contributors&gt;&lt;titles&gt;&lt;title&gt;A General Approach to Representing Multifaceted Personality Constructs: Application to State Self-Esteem&lt;/title&gt;&lt;secondary-title&gt;Structural Equation Modeling&lt;/secondary-title&gt;&lt;/titles&gt;&lt;periodical&gt;&lt;full-title&gt;Structural Equation Modeling&lt;/full-title&gt;&lt;/periodical&gt;&lt;pages&gt;35-67&lt;/pages&gt;&lt;volume&gt;1&lt;/volume&gt;&lt;number&gt;1&lt;/number&gt;&lt;dates&gt;&lt;year&gt;1994&lt;/year&gt;&lt;/dates&gt;&lt;urls&gt;&lt;/urls&gt;&lt;/record&gt;&lt;/Cite&gt;&lt;/EndNote&gt;</w:instrText>
      </w:r>
      <w:r w:rsidR="00AA5B5D" w:rsidRPr="00605672">
        <w:rPr>
          <w:szCs w:val="24"/>
        </w:rPr>
        <w:fldChar w:fldCharType="separate"/>
      </w:r>
      <w:r w:rsidR="00FB3B98" w:rsidRPr="00605672">
        <w:rPr>
          <w:szCs w:val="24"/>
        </w:rPr>
        <w:t>(1994)</w:t>
      </w:r>
      <w:r w:rsidR="00AA5B5D" w:rsidRPr="00605672">
        <w:rPr>
          <w:szCs w:val="24"/>
        </w:rPr>
        <w:fldChar w:fldCharType="end"/>
      </w:r>
      <w:r w:rsidR="003D1A77" w:rsidRPr="00605672">
        <w:rPr>
          <w:szCs w:val="24"/>
        </w:rPr>
        <w:t>.</w:t>
      </w:r>
    </w:p>
    <w:p w14:paraId="782E6F08" w14:textId="52662993" w:rsidR="00FB3B98" w:rsidRPr="00605672" w:rsidRDefault="00FB3B98" w:rsidP="00FB3B98">
      <w:pPr>
        <w:pStyle w:val="Bodytext"/>
        <w:jc w:val="left"/>
        <w:rPr>
          <w:spacing w:val="-2"/>
          <w:szCs w:val="24"/>
        </w:rPr>
      </w:pPr>
      <w:r w:rsidRPr="00605672">
        <w:rPr>
          <w:szCs w:val="24"/>
        </w:rPr>
        <w:t xml:space="preserve">To evaluate the factor model, we use a combination of </w:t>
      </w:r>
      <w:r w:rsidRPr="00605672">
        <w:rPr>
          <w:spacing w:val="-2"/>
          <w:szCs w:val="24"/>
        </w:rPr>
        <w:t>absolute fit indices (</w:t>
      </w:r>
      <w:r w:rsidRPr="00605672">
        <w:rPr>
          <w:spacing w:val="-2"/>
          <w:szCs w:val="24"/>
        </w:rPr>
        <w:sym w:font="Symbol" w:char="F063"/>
      </w:r>
      <w:r w:rsidRPr="00605672">
        <w:rPr>
          <w:spacing w:val="-2"/>
          <w:szCs w:val="24"/>
          <w:vertAlign w:val="superscript"/>
        </w:rPr>
        <w:t>2</w:t>
      </w:r>
      <w:r w:rsidRPr="00605672">
        <w:rPr>
          <w:spacing w:val="-2"/>
          <w:szCs w:val="24"/>
        </w:rPr>
        <w:t xml:space="preserve"> and </w:t>
      </w:r>
      <w:r w:rsidR="00E61EC3">
        <w:rPr>
          <w:spacing w:val="-2"/>
          <w:szCs w:val="24"/>
        </w:rPr>
        <w:t>r</w:t>
      </w:r>
      <w:r w:rsidRPr="00605672">
        <w:rPr>
          <w:spacing w:val="-2"/>
          <w:szCs w:val="24"/>
        </w:rPr>
        <w:t>oot</w:t>
      </w:r>
      <w:r w:rsidR="00E61EC3">
        <w:rPr>
          <w:spacing w:val="-2"/>
          <w:szCs w:val="24"/>
        </w:rPr>
        <w:t xml:space="preserve"> m</w:t>
      </w:r>
      <w:r w:rsidRPr="00605672">
        <w:rPr>
          <w:spacing w:val="-2"/>
          <w:szCs w:val="24"/>
        </w:rPr>
        <w:t>ean</w:t>
      </w:r>
      <w:r w:rsidR="00E61EC3">
        <w:rPr>
          <w:spacing w:val="-2"/>
          <w:szCs w:val="24"/>
        </w:rPr>
        <w:t xml:space="preserve"> s</w:t>
      </w:r>
      <w:r w:rsidRPr="00605672">
        <w:rPr>
          <w:spacing w:val="-2"/>
          <w:szCs w:val="24"/>
        </w:rPr>
        <w:t xml:space="preserve">quare </w:t>
      </w:r>
      <w:r w:rsidR="00E61EC3">
        <w:rPr>
          <w:spacing w:val="-2"/>
          <w:szCs w:val="24"/>
        </w:rPr>
        <w:t>e</w:t>
      </w:r>
      <w:r w:rsidRPr="00605672">
        <w:rPr>
          <w:spacing w:val="-2"/>
          <w:szCs w:val="24"/>
        </w:rPr>
        <w:t xml:space="preserve">rror of </w:t>
      </w:r>
      <w:r w:rsidR="00E61EC3">
        <w:rPr>
          <w:spacing w:val="-2"/>
          <w:szCs w:val="24"/>
        </w:rPr>
        <w:t>a</w:t>
      </w:r>
      <w:r w:rsidRPr="00605672">
        <w:rPr>
          <w:spacing w:val="-2"/>
          <w:szCs w:val="24"/>
        </w:rPr>
        <w:t>pproximation [RMSEA]) and incremental fit indices (</w:t>
      </w:r>
      <w:r w:rsidR="00E61EC3">
        <w:rPr>
          <w:spacing w:val="-2"/>
          <w:szCs w:val="24"/>
        </w:rPr>
        <w:t>c</w:t>
      </w:r>
      <w:r w:rsidRPr="00605672">
        <w:rPr>
          <w:spacing w:val="-2"/>
          <w:szCs w:val="24"/>
        </w:rPr>
        <w:t xml:space="preserve">omparative </w:t>
      </w:r>
      <w:r w:rsidR="00E61EC3">
        <w:rPr>
          <w:spacing w:val="-2"/>
          <w:szCs w:val="24"/>
        </w:rPr>
        <w:t>f</w:t>
      </w:r>
      <w:r w:rsidRPr="00605672">
        <w:rPr>
          <w:spacing w:val="-2"/>
          <w:szCs w:val="24"/>
        </w:rPr>
        <w:t xml:space="preserve">it </w:t>
      </w:r>
      <w:r w:rsidR="00E61EC3">
        <w:rPr>
          <w:spacing w:val="-2"/>
          <w:szCs w:val="24"/>
        </w:rPr>
        <w:t>i</w:t>
      </w:r>
      <w:r w:rsidRPr="00605672">
        <w:rPr>
          <w:spacing w:val="-2"/>
          <w:szCs w:val="24"/>
        </w:rPr>
        <w:t>ndex [CFI] and Tucker</w:t>
      </w:r>
      <w:r w:rsidR="00E61EC3">
        <w:rPr>
          <w:spacing w:val="-2"/>
          <w:szCs w:val="24"/>
        </w:rPr>
        <w:t>–</w:t>
      </w:r>
      <w:r w:rsidRPr="00605672">
        <w:rPr>
          <w:spacing w:val="-2"/>
          <w:szCs w:val="24"/>
        </w:rPr>
        <w:t xml:space="preserve">Lewis index [TLI]). </w:t>
      </w:r>
      <w:r w:rsidRPr="00605672">
        <w:rPr>
          <w:szCs w:val="24"/>
        </w:rPr>
        <w:t xml:space="preserve">The fit indices indicate </w:t>
      </w:r>
      <w:r w:rsidR="0076198B" w:rsidRPr="00605672">
        <w:rPr>
          <w:szCs w:val="24"/>
        </w:rPr>
        <w:t xml:space="preserve">acceptable </w:t>
      </w:r>
      <w:r w:rsidRPr="00605672">
        <w:rPr>
          <w:szCs w:val="24"/>
        </w:rPr>
        <w:t>model fit (χ</w:t>
      </w:r>
      <w:r w:rsidRPr="00605672">
        <w:rPr>
          <w:szCs w:val="24"/>
          <w:vertAlign w:val="superscript"/>
        </w:rPr>
        <w:t>2</w:t>
      </w:r>
      <w:r w:rsidRPr="00605672">
        <w:rPr>
          <w:szCs w:val="24"/>
        </w:rPr>
        <w:t xml:space="preserve"> = 2</w:t>
      </w:r>
      <w:r w:rsidR="0052023A" w:rsidRPr="00605672">
        <w:rPr>
          <w:szCs w:val="24"/>
        </w:rPr>
        <w:t>58</w:t>
      </w:r>
      <w:r w:rsidRPr="00605672">
        <w:rPr>
          <w:szCs w:val="24"/>
        </w:rPr>
        <w:t>.</w:t>
      </w:r>
      <w:r w:rsidR="00B95037" w:rsidRPr="00605672">
        <w:rPr>
          <w:szCs w:val="24"/>
        </w:rPr>
        <w:t>46</w:t>
      </w:r>
      <w:r w:rsidR="008F353B" w:rsidRPr="00605672">
        <w:rPr>
          <w:szCs w:val="24"/>
        </w:rPr>
        <w:t xml:space="preserve"> (168</w:t>
      </w:r>
      <w:r w:rsidR="009C3545" w:rsidRPr="00605672">
        <w:rPr>
          <w:szCs w:val="24"/>
        </w:rPr>
        <w:t xml:space="preserve"> </w:t>
      </w:r>
      <w:r w:rsidR="00E61EC3">
        <w:rPr>
          <w:szCs w:val="24"/>
        </w:rPr>
        <w:t>df</w:t>
      </w:r>
      <w:r w:rsidR="008F353B" w:rsidRPr="00605672">
        <w:rPr>
          <w:szCs w:val="24"/>
        </w:rPr>
        <w:t>)</w:t>
      </w:r>
      <w:r w:rsidRPr="00605672">
        <w:rPr>
          <w:szCs w:val="24"/>
        </w:rPr>
        <w:t xml:space="preserve">, </w:t>
      </w:r>
      <w:r w:rsidRPr="00605672">
        <w:rPr>
          <w:i/>
          <w:iCs/>
          <w:szCs w:val="24"/>
        </w:rPr>
        <w:t>p</w:t>
      </w:r>
      <w:r w:rsidRPr="00605672">
        <w:rPr>
          <w:szCs w:val="24"/>
        </w:rPr>
        <w:t xml:space="preserve"> &lt; .05, RMSEA = .</w:t>
      </w:r>
      <w:r w:rsidR="00403F17" w:rsidRPr="00605672">
        <w:rPr>
          <w:szCs w:val="24"/>
        </w:rPr>
        <w:t>07</w:t>
      </w:r>
      <w:r w:rsidRPr="00605672">
        <w:rPr>
          <w:szCs w:val="24"/>
        </w:rPr>
        <w:t>, CFI = .9</w:t>
      </w:r>
      <w:r w:rsidR="00403F17" w:rsidRPr="00605672">
        <w:rPr>
          <w:szCs w:val="24"/>
        </w:rPr>
        <w:t>45</w:t>
      </w:r>
      <w:r w:rsidRPr="00605672">
        <w:rPr>
          <w:szCs w:val="24"/>
        </w:rPr>
        <w:t>, TLI = .</w:t>
      </w:r>
      <w:r w:rsidR="00403F17" w:rsidRPr="00605672">
        <w:rPr>
          <w:szCs w:val="24"/>
        </w:rPr>
        <w:t>93</w:t>
      </w:r>
      <w:r w:rsidRPr="00605672">
        <w:rPr>
          <w:szCs w:val="24"/>
        </w:rPr>
        <w:t>).</w:t>
      </w:r>
    </w:p>
    <w:p w14:paraId="28667E94" w14:textId="56A89CA1" w:rsidR="00FB3B98" w:rsidRPr="00605672" w:rsidRDefault="00FB3B98" w:rsidP="00FB3B98">
      <w:pPr>
        <w:pStyle w:val="Bodytext"/>
        <w:jc w:val="left"/>
        <w:rPr>
          <w:szCs w:val="24"/>
        </w:rPr>
      </w:pPr>
      <w:r w:rsidRPr="00605672">
        <w:rPr>
          <w:spacing w:val="-2"/>
          <w:szCs w:val="24"/>
        </w:rPr>
        <w:t xml:space="preserve">Next, we calculate the composite reliabilities (CR) and average variance extracted (AVE) for each </w:t>
      </w:r>
      <w:r w:rsidR="00D20983" w:rsidRPr="00605672">
        <w:rPr>
          <w:spacing w:val="-2"/>
          <w:szCs w:val="24"/>
        </w:rPr>
        <w:t xml:space="preserve">multi-item </w:t>
      </w:r>
      <w:r w:rsidRPr="00605672">
        <w:rPr>
          <w:spacing w:val="-2"/>
          <w:szCs w:val="24"/>
        </w:rPr>
        <w:t xml:space="preserve">construct using the procedure outlined by Fornell and Larcker </w:t>
      </w:r>
      <w:r w:rsidR="00AA5B5D" w:rsidRPr="00605672">
        <w:rPr>
          <w:spacing w:val="-2"/>
          <w:szCs w:val="24"/>
        </w:rPr>
        <w:fldChar w:fldCharType="begin"/>
      </w:r>
      <w:r w:rsidRPr="00605672">
        <w:rPr>
          <w:spacing w:val="-2"/>
          <w:szCs w:val="24"/>
        </w:rPr>
        <w:instrText xml:space="preserve"> ADDIN EN.CITE &lt;EndNote&gt;&lt;Cite ExcludeAuth="1"&gt;&lt;Year&gt;1981&lt;/Year&gt;&lt;RecNum&gt;1196&lt;/RecNum&gt;&lt;record&gt;&lt;rec-number&gt;1196&lt;/rec-number&gt;&lt;foreign-keys&gt;&lt;key app="EN" db-id="ssraf95pgs2af9erzvi5ztaba2trtwdfwv05"&gt;1196&lt;/key&gt;&lt;/foreign-keys&gt;&lt;ref-type name="Journal Article"&gt;17&lt;/ref-type&gt;&lt;contributors&gt;&lt;authors&gt;&lt;author&gt;Fornell, Claes&lt;/author&gt;&lt;author&gt;Larcker, David F.&lt;/author&gt;&lt;/authors&gt;&lt;/contributors&gt;&lt;titles&gt;&lt;title&gt;Evaluating Structural Equation Models with Unobservable Variables and Measurement Error&lt;/title&gt;&lt;secondary-title&gt;Journal of Marketing Research&lt;/secondary-title&gt;&lt;/titles&gt;&lt;periodical&gt;&lt;full-title&gt;Journal of Marketing Research&lt;/full-title&gt;&lt;/periodical&gt;&lt;pages&gt;39-50&lt;/pages&gt;&lt;volume&gt;18&lt;/volume&gt;&lt;number&gt;1&lt;/number&gt;&lt;dates&gt;&lt;year&gt;1981&lt;/year&gt;&lt;/dates&gt;&lt;urls&gt;&lt;/urls&gt;&lt;/record&gt;&lt;/Cite&gt;&lt;/EndNote&gt;</w:instrText>
      </w:r>
      <w:r w:rsidR="00AA5B5D" w:rsidRPr="00605672">
        <w:rPr>
          <w:spacing w:val="-2"/>
          <w:szCs w:val="24"/>
        </w:rPr>
        <w:fldChar w:fldCharType="separate"/>
      </w:r>
      <w:r w:rsidRPr="00605672">
        <w:rPr>
          <w:spacing w:val="-2"/>
          <w:szCs w:val="24"/>
        </w:rPr>
        <w:t>(1981)</w:t>
      </w:r>
      <w:r w:rsidR="00AA5B5D" w:rsidRPr="00605672">
        <w:rPr>
          <w:spacing w:val="-2"/>
          <w:szCs w:val="24"/>
        </w:rPr>
        <w:fldChar w:fldCharType="end"/>
      </w:r>
      <w:r w:rsidRPr="00605672">
        <w:rPr>
          <w:spacing w:val="-2"/>
          <w:szCs w:val="24"/>
        </w:rPr>
        <w:t xml:space="preserve">, and </w:t>
      </w:r>
      <w:r w:rsidR="00E61EC3">
        <w:rPr>
          <w:spacing w:val="-2"/>
          <w:szCs w:val="24"/>
        </w:rPr>
        <w:t xml:space="preserve">we </w:t>
      </w:r>
      <w:r w:rsidRPr="00605672">
        <w:rPr>
          <w:spacing w:val="-2"/>
          <w:szCs w:val="24"/>
        </w:rPr>
        <w:t>asses</w:t>
      </w:r>
      <w:r w:rsidR="00E61EC3">
        <w:rPr>
          <w:spacing w:val="-2"/>
          <w:szCs w:val="24"/>
        </w:rPr>
        <w:t>s</w:t>
      </w:r>
      <w:r w:rsidRPr="00605672">
        <w:rPr>
          <w:spacing w:val="-2"/>
          <w:szCs w:val="24"/>
        </w:rPr>
        <w:t xml:space="preserve"> convergent validity by inspecting the factor loadings and their associated t-values </w:t>
      </w:r>
      <w:r w:rsidR="00AA5B5D" w:rsidRPr="00605672">
        <w:fldChar w:fldCharType="begin"/>
      </w:r>
      <w:r w:rsidRPr="00605672">
        <w:instrText xml:space="preserve"> ADDIN EN.CITE &lt;EndNote&gt;&lt;Cite&gt;&lt;Author&gt;Gerbing&lt;/Author&gt;&lt;Year&gt;1988&lt;/Year&gt;&lt;RecNum&gt;77&lt;/RecNum&gt;&lt;record&gt;&lt;rec-number&gt;77&lt;/rec-number&gt;&lt;foreign-keys&gt;&lt;key app="EN" db-id="ssraf95pgs2af9erzvi5ztaba2trtwdfwv05"&gt;77&lt;/key&gt;&lt;/foreign-keys&gt;&lt;ref-type name="Journal Article"&gt;17&lt;/ref-type&gt;&lt;contributors&gt;&lt;authors&gt;&lt;author&gt;Gerbing, David W.&lt;/author&gt;&lt;author&gt;Anderson, James C.&lt;/author&gt;&lt;/authors&gt;&lt;/contributors&gt;&lt;titles&gt;&lt;title&gt;An Updated Paradigm for Scale Development Incorporating Unidimensionality and Its Assessment&lt;/title&gt;&lt;secondary-title&gt;Journal of Marketing Research&lt;/secondary-title&gt;&lt;alt-title&gt;JMR&lt;/alt-title&gt;&lt;/titles&gt;&lt;periodical&gt;&lt;full-title&gt;Journal of Marketing Research&lt;/full-title&gt;&lt;/periodical&gt;&lt;pages&gt;186-192&lt;/pages&gt;&lt;volume&gt;25&lt;/volume&gt;&lt;number&gt;2&lt;/number&gt;&lt;keywords&gt;&lt;keyword&gt;Market research&lt;/keyword&gt;&lt;keyword&gt;Scale&lt;/keyword&gt;&lt;keyword&gt;Development&lt;/keyword&gt;&lt;keyword&gt;Evaluation&lt;/keyword&gt;&lt;keyword&gt;Methods&lt;/keyword&gt;&lt;keyword&gt;Advantages&lt;/keyword&gt;&lt;/keywords&gt;&lt;dates&gt;&lt;year&gt;1988&lt;/year&gt;&lt;/dates&gt;&lt;label&gt;00404390 ProQuest ABI/INFORM (R) Global Edition&lt;/label&gt;&lt;urls&gt;&lt;/urls&gt;&lt;/record&gt;&lt;/Cite&gt;&lt;/EndNote&gt;</w:instrText>
      </w:r>
      <w:r w:rsidR="00AA5B5D" w:rsidRPr="00605672">
        <w:fldChar w:fldCharType="separate"/>
      </w:r>
      <w:r w:rsidRPr="00605672">
        <w:t>(</w:t>
      </w:r>
      <w:r w:rsidR="007401E8" w:rsidRPr="00605672">
        <w:t>Gerbing and Anderson 1988</w:t>
      </w:r>
      <w:r w:rsidRPr="00605672">
        <w:t>)</w:t>
      </w:r>
      <w:r w:rsidR="00AA5B5D" w:rsidRPr="00605672">
        <w:fldChar w:fldCharType="end"/>
      </w:r>
      <w:r w:rsidRPr="00605672">
        <w:t>. All of the factor loadings are large</w:t>
      </w:r>
      <w:r w:rsidR="00E3745E" w:rsidRPr="00605672">
        <w:t xml:space="preserve"> (&gt;.78)</w:t>
      </w:r>
      <w:r w:rsidRPr="00605672">
        <w:t xml:space="preserve"> and significant (t-values &gt; 2), and</w:t>
      </w:r>
      <w:r w:rsidRPr="00605672">
        <w:rPr>
          <w:szCs w:val="24"/>
        </w:rPr>
        <w:t xml:space="preserve"> the </w:t>
      </w:r>
      <w:r w:rsidR="00E61EC3">
        <w:rPr>
          <w:szCs w:val="24"/>
        </w:rPr>
        <w:t>C</w:t>
      </w:r>
      <w:r w:rsidRPr="00605672">
        <w:rPr>
          <w:szCs w:val="24"/>
        </w:rPr>
        <w:t xml:space="preserve">R and AVE for all constructs meet </w:t>
      </w:r>
      <w:r w:rsidR="00E61EC3">
        <w:rPr>
          <w:szCs w:val="24"/>
        </w:rPr>
        <w:t xml:space="preserve">or exceed </w:t>
      </w:r>
      <w:r w:rsidRPr="00605672">
        <w:rPr>
          <w:szCs w:val="24"/>
        </w:rPr>
        <w:t xml:space="preserve">the thresholds recommended by Fornell and Larcker </w:t>
      </w:r>
      <w:r w:rsidR="00AA5B5D" w:rsidRPr="00605672">
        <w:rPr>
          <w:szCs w:val="24"/>
        </w:rPr>
        <w:fldChar w:fldCharType="begin"/>
      </w:r>
      <w:r w:rsidRPr="00605672">
        <w:rPr>
          <w:szCs w:val="24"/>
        </w:rPr>
        <w:instrText xml:space="preserve"> ADDIN EN.CITE &lt;EndNote&gt;&lt;Cite ExcludeAuth="1"&gt;&lt;Year&gt;1981&lt;/Year&gt;&lt;RecNum&gt;1196&lt;/RecNum&gt;&lt;record&gt;&lt;rec-number&gt;1196&lt;/rec-number&gt;&lt;foreign-keys&gt;&lt;key app="EN" db-id="ssraf95pgs2af9erzvi5ztaba2trtwdfwv05"&gt;1196&lt;/key&gt;&lt;/foreign-keys&gt;&lt;ref-type name="Journal Article"&gt;17&lt;/ref-type&gt;&lt;contributors&gt;&lt;authors&gt;&lt;author&gt;Fornell, Claes&lt;/author&gt;&lt;author&gt;Larcker, David F.&lt;/author&gt;&lt;/authors&gt;&lt;/contributors&gt;&lt;titles&gt;&lt;title&gt;Evaluating Structural Equation Models with Unobservable Variables and Measurement Error&lt;/title&gt;&lt;secondary-title&gt;Journal of Marketing Research&lt;/secondary-title&gt;&lt;/titles&gt;&lt;periodical&gt;&lt;full-title&gt;Journal of Marketing Research&lt;/full-title&gt;&lt;/periodical&gt;&lt;pages&gt;39-50&lt;/pages&gt;&lt;volume&gt;18&lt;/volume&gt;&lt;number&gt;1&lt;/number&gt;&lt;dates&gt;&lt;year&gt;1981&lt;/year&gt;&lt;/dates&gt;&lt;urls&gt;&lt;/urls&gt;&lt;/record&gt;&lt;/Cite&gt;&lt;/EndNote&gt;</w:instrText>
      </w:r>
      <w:r w:rsidR="00AA5B5D" w:rsidRPr="00605672">
        <w:rPr>
          <w:szCs w:val="24"/>
        </w:rPr>
        <w:fldChar w:fldCharType="separate"/>
      </w:r>
      <w:r w:rsidRPr="00605672">
        <w:rPr>
          <w:szCs w:val="24"/>
        </w:rPr>
        <w:t>(1981)</w:t>
      </w:r>
      <w:r w:rsidR="00AA5B5D" w:rsidRPr="00605672">
        <w:rPr>
          <w:szCs w:val="24"/>
        </w:rPr>
        <w:fldChar w:fldCharType="end"/>
      </w:r>
      <w:r w:rsidRPr="00605672">
        <w:rPr>
          <w:szCs w:val="24"/>
        </w:rPr>
        <w:t xml:space="preserve">. The AVEs are on the diagonal of Table </w:t>
      </w:r>
      <w:r w:rsidR="00CC5859" w:rsidRPr="00605672">
        <w:rPr>
          <w:szCs w:val="24"/>
        </w:rPr>
        <w:t>1</w:t>
      </w:r>
      <w:r w:rsidR="00E61EC3">
        <w:rPr>
          <w:szCs w:val="24"/>
        </w:rPr>
        <w:t xml:space="preserve">; we report </w:t>
      </w:r>
      <w:r w:rsidRPr="00605672">
        <w:rPr>
          <w:szCs w:val="24"/>
        </w:rPr>
        <w:t>the CRs for each scale in the Appendix.</w:t>
      </w:r>
    </w:p>
    <w:p w14:paraId="7F12CEF3" w14:textId="5BC35942" w:rsidR="00FB3B98" w:rsidRPr="00605672" w:rsidRDefault="00FB3B98" w:rsidP="00FB3B98">
      <w:pPr>
        <w:pStyle w:val="Bodytext"/>
        <w:jc w:val="left"/>
        <w:rPr>
          <w:szCs w:val="24"/>
        </w:rPr>
      </w:pPr>
      <w:r w:rsidRPr="00605672">
        <w:rPr>
          <w:szCs w:val="24"/>
        </w:rPr>
        <w:lastRenderedPageBreak/>
        <w:t xml:space="preserve">We also establish discriminant validity by calculating the shared variance between all possible pairs of </w:t>
      </w:r>
      <w:r w:rsidR="00D20983" w:rsidRPr="00605672">
        <w:rPr>
          <w:szCs w:val="24"/>
        </w:rPr>
        <w:t>multi-item</w:t>
      </w:r>
      <w:r w:rsidR="009B302B" w:rsidRPr="00605672">
        <w:rPr>
          <w:szCs w:val="24"/>
        </w:rPr>
        <w:t xml:space="preserve"> </w:t>
      </w:r>
      <w:r w:rsidRPr="00605672">
        <w:rPr>
          <w:szCs w:val="24"/>
        </w:rPr>
        <w:t xml:space="preserve">constructs, </w:t>
      </w:r>
      <w:r w:rsidR="00E06490">
        <w:rPr>
          <w:szCs w:val="24"/>
        </w:rPr>
        <w:t xml:space="preserve">which is </w:t>
      </w:r>
      <w:r w:rsidRPr="00605672">
        <w:rPr>
          <w:szCs w:val="24"/>
        </w:rPr>
        <w:t xml:space="preserve">lower than the AVE for </w:t>
      </w:r>
      <w:r w:rsidR="009B302B" w:rsidRPr="00605672">
        <w:rPr>
          <w:szCs w:val="24"/>
        </w:rPr>
        <w:t>each multi-item</w:t>
      </w:r>
      <w:r w:rsidRPr="00605672">
        <w:rPr>
          <w:szCs w:val="24"/>
        </w:rPr>
        <w:t xml:space="preserve"> construct. The highest shared variance, calculated as the squared correlation between each construct</w:t>
      </w:r>
      <w:r w:rsidR="00E06490">
        <w:rPr>
          <w:szCs w:val="24"/>
        </w:rPr>
        <w:t xml:space="preserve"> </w:t>
      </w:r>
      <w:r w:rsidRPr="00605672">
        <w:rPr>
          <w:szCs w:val="24"/>
        </w:rPr>
        <w:t>pair, is .</w:t>
      </w:r>
      <w:r w:rsidR="009B302B" w:rsidRPr="00605672">
        <w:rPr>
          <w:szCs w:val="24"/>
        </w:rPr>
        <w:t>48 (</w:t>
      </w:r>
      <w:r w:rsidR="00C01960" w:rsidRPr="00605672">
        <w:rPr>
          <w:szCs w:val="24"/>
        </w:rPr>
        <w:t>RINVT1</w:t>
      </w:r>
      <w:r w:rsidR="009B302B" w:rsidRPr="00605672">
        <w:rPr>
          <w:szCs w:val="24"/>
        </w:rPr>
        <w:t xml:space="preserve"> and </w:t>
      </w:r>
      <w:r w:rsidR="00C01960" w:rsidRPr="00605672">
        <w:rPr>
          <w:szCs w:val="24"/>
        </w:rPr>
        <w:t>RINVT2</w:t>
      </w:r>
      <w:r w:rsidR="009B302B" w:rsidRPr="00605672">
        <w:rPr>
          <w:szCs w:val="24"/>
        </w:rPr>
        <w:t>)</w:t>
      </w:r>
      <w:r w:rsidRPr="00605672">
        <w:rPr>
          <w:szCs w:val="24"/>
        </w:rPr>
        <w:t xml:space="preserve">. This </w:t>
      </w:r>
      <w:r w:rsidR="00E06490">
        <w:rPr>
          <w:szCs w:val="24"/>
        </w:rPr>
        <w:t xml:space="preserve">result </w:t>
      </w:r>
      <w:r w:rsidRPr="00605672">
        <w:rPr>
          <w:szCs w:val="24"/>
        </w:rPr>
        <w:t xml:space="preserve">suggests limited </w:t>
      </w:r>
      <w:r w:rsidR="00B57A2B" w:rsidRPr="00605672">
        <w:rPr>
          <w:szCs w:val="24"/>
        </w:rPr>
        <w:t xml:space="preserve">construct </w:t>
      </w:r>
      <w:r w:rsidRPr="00605672">
        <w:rPr>
          <w:szCs w:val="24"/>
        </w:rPr>
        <w:t>overlap</w:t>
      </w:r>
      <w:r w:rsidR="00A20A18" w:rsidRPr="00605672">
        <w:rPr>
          <w:szCs w:val="24"/>
        </w:rPr>
        <w:t>;</w:t>
      </w:r>
      <w:r w:rsidRPr="00605672">
        <w:rPr>
          <w:szCs w:val="24"/>
        </w:rPr>
        <w:t xml:space="preserve"> the value of .</w:t>
      </w:r>
      <w:r w:rsidR="009B302B" w:rsidRPr="00605672">
        <w:rPr>
          <w:szCs w:val="24"/>
        </w:rPr>
        <w:t xml:space="preserve">48 </w:t>
      </w:r>
      <w:r w:rsidRPr="00605672">
        <w:rPr>
          <w:szCs w:val="24"/>
        </w:rPr>
        <w:t>is lower than the AVEs for either construct (.</w:t>
      </w:r>
      <w:r w:rsidR="009B302B" w:rsidRPr="00605672">
        <w:rPr>
          <w:szCs w:val="24"/>
        </w:rPr>
        <w:t xml:space="preserve">67 </w:t>
      </w:r>
      <w:r w:rsidRPr="00605672">
        <w:rPr>
          <w:szCs w:val="24"/>
        </w:rPr>
        <w:t>and .7</w:t>
      </w:r>
      <w:r w:rsidR="009B302B" w:rsidRPr="00605672">
        <w:rPr>
          <w:szCs w:val="24"/>
        </w:rPr>
        <w:t>7</w:t>
      </w:r>
      <w:r w:rsidR="00E06490">
        <w:rPr>
          <w:szCs w:val="24"/>
        </w:rPr>
        <w:t>,</w:t>
      </w:r>
      <w:r w:rsidRPr="00605672">
        <w:rPr>
          <w:szCs w:val="24"/>
        </w:rPr>
        <w:t xml:space="preserve"> respectively)</w:t>
      </w:r>
      <w:r w:rsidR="00A20A18" w:rsidRPr="00605672">
        <w:rPr>
          <w:szCs w:val="24"/>
        </w:rPr>
        <w:t>,</w:t>
      </w:r>
      <w:r w:rsidRPr="00605672">
        <w:rPr>
          <w:szCs w:val="24"/>
        </w:rPr>
        <w:t xml:space="preserve"> </w:t>
      </w:r>
      <w:r w:rsidR="00E06490">
        <w:rPr>
          <w:szCs w:val="24"/>
        </w:rPr>
        <w:t xml:space="preserve">in support of </w:t>
      </w:r>
      <w:r w:rsidR="006D4EA6" w:rsidRPr="00605672">
        <w:rPr>
          <w:szCs w:val="24"/>
        </w:rPr>
        <w:t xml:space="preserve">discriminant validity </w:t>
      </w:r>
      <w:r w:rsidR="008F353B" w:rsidRPr="00605672">
        <w:rPr>
          <w:szCs w:val="24"/>
        </w:rPr>
        <w:t xml:space="preserve">(Fornell and Larcker </w:t>
      </w:r>
      <w:r w:rsidR="00AA5B5D" w:rsidRPr="00605672">
        <w:rPr>
          <w:szCs w:val="24"/>
        </w:rPr>
        <w:fldChar w:fldCharType="begin"/>
      </w:r>
      <w:r w:rsidR="008F353B" w:rsidRPr="00605672">
        <w:rPr>
          <w:szCs w:val="24"/>
        </w:rPr>
        <w:instrText xml:space="preserve"> ADDIN EN.CITE &lt;EndNote&gt;&lt;Cite ExcludeAuth="1"&gt;&lt;Year&gt;1981&lt;/Year&gt;&lt;RecNum&gt;1196&lt;/RecNum&gt;&lt;record&gt;&lt;rec-number&gt;1196&lt;/rec-number&gt;&lt;foreign-keys&gt;&lt;key app="EN" db-id="ssraf95pgs2af9erzvi5ztaba2trtwdfwv05"&gt;1196&lt;/key&gt;&lt;/foreign-keys&gt;&lt;ref-type name="Journal Article"&gt;17&lt;/ref-type&gt;&lt;contributors&gt;&lt;authors&gt;&lt;author&gt;Fornell, Claes&lt;/author&gt;&lt;author&gt;Larcker, David F.&lt;/author&gt;&lt;/authors&gt;&lt;/contributors&gt;&lt;titles&gt;&lt;title&gt;Evaluating Structural Equation Models with Unobservable Variables and Measurement Error&lt;/title&gt;&lt;secondary-title&gt;Journal of Marketing Research&lt;/secondary-title&gt;&lt;/titles&gt;&lt;periodical&gt;&lt;full-title&gt;Journal of Marketing Research&lt;/full-title&gt;&lt;/periodical&gt;&lt;pages&gt;39-50&lt;/pages&gt;&lt;volume&gt;18&lt;/volume&gt;&lt;number&gt;1&lt;/number&gt;&lt;dates&gt;&lt;year&gt;1981&lt;/year&gt;&lt;/dates&gt;&lt;urls&gt;&lt;/urls&gt;&lt;/record&gt;&lt;/Cite&gt;&lt;/EndNote&gt;</w:instrText>
      </w:r>
      <w:r w:rsidR="00AA5B5D" w:rsidRPr="00605672">
        <w:rPr>
          <w:szCs w:val="24"/>
        </w:rPr>
        <w:fldChar w:fldCharType="separate"/>
      </w:r>
      <w:r w:rsidR="008F353B" w:rsidRPr="00605672">
        <w:rPr>
          <w:szCs w:val="24"/>
        </w:rPr>
        <w:t>1981)</w:t>
      </w:r>
      <w:r w:rsidR="00AA5B5D" w:rsidRPr="00605672">
        <w:rPr>
          <w:szCs w:val="24"/>
        </w:rPr>
        <w:fldChar w:fldCharType="end"/>
      </w:r>
      <w:r w:rsidRPr="00605672">
        <w:rPr>
          <w:szCs w:val="24"/>
        </w:rPr>
        <w:t xml:space="preserve">. The correlation matrix for the variables and descriptive details </w:t>
      </w:r>
      <w:r w:rsidR="00E06490">
        <w:rPr>
          <w:szCs w:val="24"/>
        </w:rPr>
        <w:t xml:space="preserve">is </w:t>
      </w:r>
      <w:r w:rsidRPr="00605672">
        <w:rPr>
          <w:szCs w:val="24"/>
        </w:rPr>
        <w:t xml:space="preserve">in Table </w:t>
      </w:r>
      <w:r w:rsidR="00CC5859" w:rsidRPr="00605672">
        <w:rPr>
          <w:szCs w:val="24"/>
        </w:rPr>
        <w:t>1</w:t>
      </w:r>
      <w:r w:rsidRPr="00605672">
        <w:rPr>
          <w:szCs w:val="24"/>
        </w:rPr>
        <w:t>.</w:t>
      </w:r>
    </w:p>
    <w:p w14:paraId="0F9A42A8" w14:textId="0839A76B" w:rsidR="00FB3B98" w:rsidRPr="00605672" w:rsidRDefault="00FB3B98" w:rsidP="00FB3B98">
      <w:pPr>
        <w:pStyle w:val="Bodytext"/>
        <w:jc w:val="left"/>
        <w:rPr>
          <w:szCs w:val="24"/>
        </w:rPr>
      </w:pPr>
      <w:r w:rsidRPr="00605672">
        <w:rPr>
          <w:szCs w:val="24"/>
        </w:rPr>
        <w:t xml:space="preserve">Finally, our independent and dependent variables are separated by three years in time, </w:t>
      </w:r>
      <w:r w:rsidR="00E06490">
        <w:rPr>
          <w:szCs w:val="24"/>
        </w:rPr>
        <w:t xml:space="preserve">so we </w:t>
      </w:r>
      <w:r w:rsidRPr="00605672">
        <w:rPr>
          <w:szCs w:val="24"/>
        </w:rPr>
        <w:t>minimiz</w:t>
      </w:r>
      <w:r w:rsidR="00E06490">
        <w:rPr>
          <w:szCs w:val="24"/>
        </w:rPr>
        <w:t>e the possibility of</w:t>
      </w:r>
      <w:r w:rsidRPr="00605672">
        <w:rPr>
          <w:szCs w:val="24"/>
        </w:rPr>
        <w:t xml:space="preserve"> common method bias by design</w:t>
      </w:r>
      <w:r w:rsidR="00E06490">
        <w:rPr>
          <w:szCs w:val="24"/>
        </w:rPr>
        <w:t>. However, we apply</w:t>
      </w:r>
      <w:r w:rsidR="00EA440C" w:rsidRPr="00605672">
        <w:rPr>
          <w:szCs w:val="24"/>
        </w:rPr>
        <w:t xml:space="preserve"> Lindell and </w:t>
      </w:r>
      <w:r w:rsidR="004E2C36" w:rsidRPr="00605672">
        <w:rPr>
          <w:szCs w:val="24"/>
        </w:rPr>
        <w:t xml:space="preserve">Whitney’s </w:t>
      </w:r>
      <w:r w:rsidR="00EA440C" w:rsidRPr="00605672">
        <w:rPr>
          <w:szCs w:val="24"/>
        </w:rPr>
        <w:t>(2001) marker test</w:t>
      </w:r>
      <w:r w:rsidR="00A65A03" w:rsidRPr="00605672">
        <w:rPr>
          <w:szCs w:val="24"/>
        </w:rPr>
        <w:t xml:space="preserve">, </w:t>
      </w:r>
      <w:r w:rsidR="00E06490">
        <w:rPr>
          <w:szCs w:val="24"/>
        </w:rPr>
        <w:t xml:space="preserve">in which </w:t>
      </w:r>
      <w:r w:rsidR="00A20A18" w:rsidRPr="00605672">
        <w:t xml:space="preserve">the lowest positive pairwise correlation </w:t>
      </w:r>
      <w:r w:rsidR="00E06490">
        <w:t xml:space="preserve">provides </w:t>
      </w:r>
      <w:r w:rsidR="00A20A18" w:rsidRPr="00605672">
        <w:t xml:space="preserve">a valid indicator of common method variance. </w:t>
      </w:r>
      <w:r w:rsidR="00E06490">
        <w:t xml:space="preserve">Then, we </w:t>
      </w:r>
      <w:r w:rsidR="00A20A18" w:rsidRPr="00605672">
        <w:t>calculate a new correlation matrix adjusted for this lowest positive correlation</w:t>
      </w:r>
      <w:r w:rsidR="00E06490">
        <w:t>. N</w:t>
      </w:r>
      <w:r w:rsidR="00A20A18" w:rsidRPr="00605672">
        <w:t>one of the previously significant correlations lost significance</w:t>
      </w:r>
      <w:r w:rsidR="00E06490">
        <w:t>, suggesting that c</w:t>
      </w:r>
      <w:r w:rsidR="00A20A18" w:rsidRPr="00605672">
        <w:t>ommon method variance is unlikely to affect our results</w:t>
      </w:r>
      <w:r w:rsidR="00830F9F" w:rsidRPr="00605672">
        <w:rPr>
          <w:szCs w:val="24"/>
        </w:rPr>
        <w:t>.</w:t>
      </w:r>
      <w:r w:rsidR="007D68A4" w:rsidRPr="00605672">
        <w:rPr>
          <w:szCs w:val="24"/>
        </w:rPr>
        <w:t xml:space="preserve"> We also conduct </w:t>
      </w:r>
      <w:r w:rsidR="00E06490">
        <w:rPr>
          <w:szCs w:val="24"/>
        </w:rPr>
        <w:t>the</w:t>
      </w:r>
      <w:r w:rsidR="007D68A4" w:rsidRPr="00605672">
        <w:rPr>
          <w:szCs w:val="24"/>
        </w:rPr>
        <w:t xml:space="preserve"> test </w:t>
      </w:r>
      <w:r w:rsidR="00E06490">
        <w:rPr>
          <w:szCs w:val="24"/>
        </w:rPr>
        <w:t xml:space="preserve">of </w:t>
      </w:r>
      <w:r w:rsidR="007D68A4" w:rsidRPr="00605672">
        <w:rPr>
          <w:szCs w:val="24"/>
        </w:rPr>
        <w:t xml:space="preserve">common method bias </w:t>
      </w:r>
      <w:r w:rsidR="00EA440C" w:rsidRPr="00605672">
        <w:rPr>
          <w:szCs w:val="24"/>
        </w:rPr>
        <w:t>implemented by Verhoef and Leeflang</w:t>
      </w:r>
      <w:r w:rsidR="004149B1" w:rsidRPr="00605672">
        <w:rPr>
          <w:szCs w:val="24"/>
        </w:rPr>
        <w:t xml:space="preserve"> (2009). Specifically, we </w:t>
      </w:r>
      <w:r w:rsidR="00E06490">
        <w:rPr>
          <w:szCs w:val="24"/>
        </w:rPr>
        <w:t xml:space="preserve">check the correlation of </w:t>
      </w:r>
      <w:r w:rsidR="004149B1" w:rsidRPr="00605672">
        <w:rPr>
          <w:szCs w:val="24"/>
        </w:rPr>
        <w:t>informant involvement</w:t>
      </w:r>
      <w:r w:rsidR="0073701F" w:rsidRPr="00605672">
        <w:rPr>
          <w:szCs w:val="24"/>
        </w:rPr>
        <w:t xml:space="preserve">, measured on </w:t>
      </w:r>
      <w:r w:rsidR="00E06490">
        <w:rPr>
          <w:szCs w:val="24"/>
        </w:rPr>
        <w:t>the</w:t>
      </w:r>
      <w:r w:rsidR="0073701F" w:rsidRPr="00605672">
        <w:rPr>
          <w:szCs w:val="24"/>
        </w:rPr>
        <w:t xml:space="preserve"> </w:t>
      </w:r>
      <w:r w:rsidR="00E06490">
        <w:rPr>
          <w:szCs w:val="24"/>
        </w:rPr>
        <w:t>7</w:t>
      </w:r>
      <w:r w:rsidR="0073701F" w:rsidRPr="00605672">
        <w:rPr>
          <w:szCs w:val="24"/>
        </w:rPr>
        <w:t xml:space="preserve">-point scale, with the focal </w:t>
      </w:r>
      <w:r w:rsidR="00D61DC4" w:rsidRPr="00605672">
        <w:rPr>
          <w:szCs w:val="24"/>
        </w:rPr>
        <w:t>constructs</w:t>
      </w:r>
      <w:r w:rsidR="0073701F" w:rsidRPr="00605672">
        <w:rPr>
          <w:szCs w:val="24"/>
        </w:rPr>
        <w:t xml:space="preserve">. </w:t>
      </w:r>
      <w:r w:rsidR="00E06490">
        <w:rPr>
          <w:szCs w:val="24"/>
        </w:rPr>
        <w:t xml:space="preserve">They </w:t>
      </w:r>
      <w:r w:rsidR="0073701F" w:rsidRPr="00605672">
        <w:rPr>
          <w:szCs w:val="24"/>
        </w:rPr>
        <w:t xml:space="preserve">should be theoretically unrelated, </w:t>
      </w:r>
      <w:r w:rsidR="00E06490">
        <w:rPr>
          <w:szCs w:val="24"/>
        </w:rPr>
        <w:t xml:space="preserve">but </w:t>
      </w:r>
      <w:r w:rsidR="0073701F" w:rsidRPr="00605672">
        <w:rPr>
          <w:szCs w:val="24"/>
        </w:rPr>
        <w:t xml:space="preserve">empirically they might </w:t>
      </w:r>
      <w:r w:rsidR="004C1B9A" w:rsidRPr="00605672">
        <w:rPr>
          <w:szCs w:val="24"/>
        </w:rPr>
        <w:t xml:space="preserve">correlate </w:t>
      </w:r>
      <w:r w:rsidR="004149B1" w:rsidRPr="00605672">
        <w:rPr>
          <w:szCs w:val="24"/>
        </w:rPr>
        <w:t xml:space="preserve">if common method bias is an issue. </w:t>
      </w:r>
      <w:r w:rsidR="00E06490">
        <w:rPr>
          <w:szCs w:val="24"/>
        </w:rPr>
        <w:t xml:space="preserve">The </w:t>
      </w:r>
      <w:r w:rsidR="004149B1" w:rsidRPr="00605672">
        <w:rPr>
          <w:szCs w:val="24"/>
        </w:rPr>
        <w:t>observed correlations (</w:t>
      </w:r>
      <w:r w:rsidR="004149B1" w:rsidRPr="00605672">
        <w:rPr>
          <w:i/>
          <w:szCs w:val="24"/>
        </w:rPr>
        <w:t>p</w:t>
      </w:r>
      <w:r w:rsidR="004149B1" w:rsidRPr="00605672">
        <w:rPr>
          <w:szCs w:val="24"/>
        </w:rPr>
        <w:t xml:space="preserve"> </w:t>
      </w:r>
      <w:r w:rsidR="00137C8A" w:rsidRPr="00605672">
        <w:t>&gt;</w:t>
      </w:r>
      <w:r w:rsidR="00E06490">
        <w:t xml:space="preserve"> </w:t>
      </w:r>
      <w:r w:rsidR="004149B1" w:rsidRPr="00605672">
        <w:rPr>
          <w:szCs w:val="24"/>
        </w:rPr>
        <w:t>.10) disp</w:t>
      </w:r>
      <w:r w:rsidR="00E06490">
        <w:rPr>
          <w:szCs w:val="24"/>
        </w:rPr>
        <w:t xml:space="preserve">rove </w:t>
      </w:r>
      <w:r w:rsidR="004149B1" w:rsidRPr="00605672">
        <w:rPr>
          <w:szCs w:val="24"/>
        </w:rPr>
        <w:t xml:space="preserve">this hypothesis and suggest </w:t>
      </w:r>
      <w:r w:rsidR="00E06490">
        <w:rPr>
          <w:szCs w:val="24"/>
        </w:rPr>
        <w:t>the</w:t>
      </w:r>
      <w:r w:rsidR="004149B1" w:rsidRPr="00605672">
        <w:rPr>
          <w:szCs w:val="24"/>
        </w:rPr>
        <w:t xml:space="preserve"> absence of common method bias.</w:t>
      </w:r>
    </w:p>
    <w:p w14:paraId="2BFBDC9B" w14:textId="77777777" w:rsidR="00FB3B98" w:rsidRPr="00605672" w:rsidRDefault="00FB3B98" w:rsidP="00FB3B98">
      <w:pPr>
        <w:spacing w:before="120" w:after="120"/>
        <w:jc w:val="center"/>
      </w:pPr>
      <w:r w:rsidRPr="00605672">
        <w:t xml:space="preserve">---- Insert Table </w:t>
      </w:r>
      <w:r w:rsidR="00CC5859" w:rsidRPr="00605672">
        <w:t xml:space="preserve">1 </w:t>
      </w:r>
      <w:r w:rsidRPr="00605672">
        <w:t>about here ----</w:t>
      </w:r>
    </w:p>
    <w:p w14:paraId="784AFB46" w14:textId="77777777" w:rsidR="00FB3B98" w:rsidRPr="00605672" w:rsidRDefault="00FB3B98" w:rsidP="00FB3B98">
      <w:pPr>
        <w:pStyle w:val="Heading2"/>
        <w:spacing w:after="0"/>
        <w:rPr>
          <w:b/>
          <w:szCs w:val="24"/>
          <w:lang w:val="en-US"/>
        </w:rPr>
      </w:pPr>
      <w:r w:rsidRPr="00605672">
        <w:rPr>
          <w:szCs w:val="24"/>
          <w:lang w:val="en-US"/>
        </w:rPr>
        <w:t>Hypotheses Tests</w:t>
      </w:r>
    </w:p>
    <w:p w14:paraId="58B66F1B" w14:textId="58F0A996" w:rsidR="004A1B6C" w:rsidRDefault="00FB3B98" w:rsidP="00727D37">
      <w:pPr>
        <w:pStyle w:val="Bodytext"/>
        <w:jc w:val="left"/>
        <w:rPr>
          <w:szCs w:val="24"/>
        </w:rPr>
      </w:pPr>
      <w:r w:rsidRPr="00605672">
        <w:rPr>
          <w:szCs w:val="24"/>
        </w:rPr>
        <w:t xml:space="preserve">Our data and hypotheses require us to account for </w:t>
      </w:r>
      <w:r w:rsidR="00E06490">
        <w:rPr>
          <w:szCs w:val="24"/>
        </w:rPr>
        <w:t>(</w:t>
      </w:r>
      <w:r w:rsidRPr="00605672">
        <w:rPr>
          <w:szCs w:val="24"/>
        </w:rPr>
        <w:t xml:space="preserve">1) </w:t>
      </w:r>
      <w:r w:rsidR="00C561E8" w:rsidRPr="00605672">
        <w:rPr>
          <w:szCs w:val="24"/>
        </w:rPr>
        <w:t>the</w:t>
      </w:r>
      <w:r w:rsidR="00F4549C" w:rsidRPr="00605672">
        <w:rPr>
          <w:szCs w:val="24"/>
        </w:rPr>
        <w:t xml:space="preserve"> need to estimate</w:t>
      </w:r>
      <w:r w:rsidR="00C561E8" w:rsidRPr="00605672">
        <w:rPr>
          <w:szCs w:val="24"/>
        </w:rPr>
        <w:t xml:space="preserve"> multiple equations</w:t>
      </w:r>
      <w:r w:rsidR="00F4549C" w:rsidRPr="00605672">
        <w:rPr>
          <w:szCs w:val="24"/>
        </w:rPr>
        <w:t xml:space="preserve"> simultaneously</w:t>
      </w:r>
      <w:r w:rsidRPr="00605672">
        <w:rPr>
          <w:szCs w:val="24"/>
        </w:rPr>
        <w:t xml:space="preserve">, </w:t>
      </w:r>
      <w:r w:rsidR="00E06490">
        <w:rPr>
          <w:szCs w:val="24"/>
        </w:rPr>
        <w:t>(</w:t>
      </w:r>
      <w:r w:rsidRPr="00605672">
        <w:rPr>
          <w:szCs w:val="24"/>
        </w:rPr>
        <w:t xml:space="preserve">2) </w:t>
      </w:r>
      <w:r w:rsidR="00F4549C" w:rsidRPr="00605672">
        <w:rPr>
          <w:szCs w:val="24"/>
        </w:rPr>
        <w:t>heteroskedasticity</w:t>
      </w:r>
      <w:r w:rsidRPr="00605672">
        <w:rPr>
          <w:szCs w:val="24"/>
        </w:rPr>
        <w:t xml:space="preserve">, </w:t>
      </w:r>
      <w:r w:rsidR="00E06490">
        <w:rPr>
          <w:szCs w:val="24"/>
        </w:rPr>
        <w:t>(</w:t>
      </w:r>
      <w:r w:rsidRPr="00605672">
        <w:rPr>
          <w:szCs w:val="24"/>
        </w:rPr>
        <w:t xml:space="preserve">3) </w:t>
      </w:r>
      <w:r w:rsidR="00C561E8" w:rsidRPr="00605672">
        <w:rPr>
          <w:szCs w:val="24"/>
        </w:rPr>
        <w:t xml:space="preserve">potential </w:t>
      </w:r>
      <w:r w:rsidRPr="00605672">
        <w:rPr>
          <w:szCs w:val="24"/>
        </w:rPr>
        <w:t xml:space="preserve">endogeneity in the </w:t>
      </w:r>
      <w:r w:rsidR="00C561E8" w:rsidRPr="00605672">
        <w:rPr>
          <w:szCs w:val="24"/>
        </w:rPr>
        <w:t xml:space="preserve">investment variables, </w:t>
      </w:r>
      <w:r w:rsidR="0061598C" w:rsidRPr="00605672">
        <w:rPr>
          <w:szCs w:val="24"/>
        </w:rPr>
        <w:t xml:space="preserve">and </w:t>
      </w:r>
      <w:r w:rsidR="00E06490">
        <w:rPr>
          <w:szCs w:val="24"/>
        </w:rPr>
        <w:t>(</w:t>
      </w:r>
      <w:r w:rsidR="0061598C" w:rsidRPr="00605672">
        <w:rPr>
          <w:szCs w:val="24"/>
        </w:rPr>
        <w:t>4) a relatively small sample size</w:t>
      </w:r>
      <w:r w:rsidR="00996102" w:rsidRPr="00605672">
        <w:rPr>
          <w:szCs w:val="24"/>
        </w:rPr>
        <w:t xml:space="preserve">, </w:t>
      </w:r>
      <w:r w:rsidR="00B17208" w:rsidRPr="00605672">
        <w:rPr>
          <w:szCs w:val="24"/>
        </w:rPr>
        <w:t>due to</w:t>
      </w:r>
      <w:r w:rsidR="0061598C" w:rsidRPr="00605672">
        <w:rPr>
          <w:szCs w:val="24"/>
        </w:rPr>
        <w:t xml:space="preserve"> the </w:t>
      </w:r>
      <w:r w:rsidR="00996102" w:rsidRPr="00605672">
        <w:rPr>
          <w:szCs w:val="24"/>
        </w:rPr>
        <w:t>complexity of the research design.</w:t>
      </w:r>
      <w:r w:rsidR="00996102" w:rsidRPr="00605672" w:rsidDel="00996102">
        <w:rPr>
          <w:szCs w:val="24"/>
        </w:rPr>
        <w:t xml:space="preserve"> </w:t>
      </w:r>
      <w:r w:rsidRPr="00605672">
        <w:rPr>
          <w:szCs w:val="24"/>
        </w:rPr>
        <w:t xml:space="preserve">To </w:t>
      </w:r>
      <w:r w:rsidRPr="00605672">
        <w:rPr>
          <w:szCs w:val="24"/>
        </w:rPr>
        <w:lastRenderedPageBreak/>
        <w:t xml:space="preserve">address these requirements, </w:t>
      </w:r>
      <w:r w:rsidR="0061598C" w:rsidRPr="00605672">
        <w:rPr>
          <w:szCs w:val="24"/>
        </w:rPr>
        <w:t xml:space="preserve">we rely on </w:t>
      </w:r>
      <w:r w:rsidR="00E06490">
        <w:rPr>
          <w:szCs w:val="24"/>
        </w:rPr>
        <w:t>s</w:t>
      </w:r>
      <w:r w:rsidR="0061598C" w:rsidRPr="00605672">
        <w:rPr>
          <w:szCs w:val="24"/>
        </w:rPr>
        <w:t xml:space="preserve">eemingly </w:t>
      </w:r>
      <w:r w:rsidR="00E06490">
        <w:rPr>
          <w:szCs w:val="24"/>
        </w:rPr>
        <w:t>u</w:t>
      </w:r>
      <w:r w:rsidR="0061598C" w:rsidRPr="00605672">
        <w:rPr>
          <w:szCs w:val="24"/>
        </w:rPr>
        <w:t xml:space="preserve">nrelated </w:t>
      </w:r>
      <w:r w:rsidR="00E06490">
        <w:rPr>
          <w:szCs w:val="24"/>
        </w:rPr>
        <w:t>e</w:t>
      </w:r>
      <w:r w:rsidR="0061598C" w:rsidRPr="00605672">
        <w:rPr>
          <w:szCs w:val="24"/>
        </w:rPr>
        <w:t>stimation (SUEST)</w:t>
      </w:r>
      <w:r w:rsidR="00996102" w:rsidRPr="00605672">
        <w:rPr>
          <w:szCs w:val="24"/>
        </w:rPr>
        <w:t>,</w:t>
      </w:r>
      <w:r w:rsidR="0061598C" w:rsidRPr="00605672">
        <w:rPr>
          <w:szCs w:val="24"/>
        </w:rPr>
        <w:t xml:space="preserve"> </w:t>
      </w:r>
      <w:r w:rsidR="00C77952" w:rsidRPr="00605672">
        <w:rPr>
          <w:szCs w:val="24"/>
        </w:rPr>
        <w:t>which combines robust estimates of multiple regression models.</w:t>
      </w:r>
      <w:r w:rsidR="00096C24" w:rsidRPr="00605672">
        <w:rPr>
          <w:rStyle w:val="FootnoteReference"/>
          <w:szCs w:val="24"/>
        </w:rPr>
        <w:footnoteReference w:id="6"/>
      </w:r>
      <w:r w:rsidR="00A46D56" w:rsidRPr="00605672">
        <w:rPr>
          <w:szCs w:val="24"/>
        </w:rPr>
        <w:t xml:space="preserve"> </w:t>
      </w:r>
      <w:r w:rsidR="00E06490">
        <w:rPr>
          <w:szCs w:val="24"/>
        </w:rPr>
        <w:t xml:space="preserve">The </w:t>
      </w:r>
      <w:r w:rsidR="00666979" w:rsidRPr="00605672">
        <w:rPr>
          <w:szCs w:val="24"/>
        </w:rPr>
        <w:t xml:space="preserve">mutual </w:t>
      </w:r>
      <w:r w:rsidR="00A46237" w:rsidRPr="00605672">
        <w:rPr>
          <w:szCs w:val="24"/>
        </w:rPr>
        <w:t>investment</w:t>
      </w:r>
      <w:r w:rsidR="00666979" w:rsidRPr="00605672">
        <w:rPr>
          <w:szCs w:val="24"/>
        </w:rPr>
        <w:t xml:space="preserve"> variable</w:t>
      </w:r>
      <w:r w:rsidR="00C561E8" w:rsidRPr="00605672">
        <w:rPr>
          <w:szCs w:val="24"/>
        </w:rPr>
        <w:t xml:space="preserve"> </w:t>
      </w:r>
      <w:r w:rsidR="00666979" w:rsidRPr="00605672">
        <w:rPr>
          <w:szCs w:val="24"/>
        </w:rPr>
        <w:t>is</w:t>
      </w:r>
      <w:r w:rsidR="00C561E8" w:rsidRPr="00605672">
        <w:rPr>
          <w:szCs w:val="24"/>
        </w:rPr>
        <w:t xml:space="preserve"> temporally lagged</w:t>
      </w:r>
      <w:r w:rsidR="00E06490">
        <w:rPr>
          <w:szCs w:val="24"/>
        </w:rPr>
        <w:t>,</w:t>
      </w:r>
      <w:r w:rsidR="00C561E8" w:rsidRPr="00605672">
        <w:rPr>
          <w:szCs w:val="24"/>
        </w:rPr>
        <w:t xml:space="preserve"> relat</w:t>
      </w:r>
      <w:r w:rsidR="00A46237" w:rsidRPr="00605672">
        <w:rPr>
          <w:szCs w:val="24"/>
        </w:rPr>
        <w:t xml:space="preserve">ive to the dependent variables, </w:t>
      </w:r>
      <w:r w:rsidR="00E06490">
        <w:rPr>
          <w:szCs w:val="24"/>
        </w:rPr>
        <w:t xml:space="preserve">so </w:t>
      </w:r>
      <w:r w:rsidR="00293076" w:rsidRPr="00605672">
        <w:rPr>
          <w:szCs w:val="24"/>
        </w:rPr>
        <w:t xml:space="preserve">potential </w:t>
      </w:r>
      <w:r w:rsidR="00C561E8" w:rsidRPr="00605672">
        <w:rPr>
          <w:szCs w:val="24"/>
        </w:rPr>
        <w:t xml:space="preserve">endogeneity </w:t>
      </w:r>
      <w:r w:rsidR="00A46237" w:rsidRPr="00605672">
        <w:rPr>
          <w:szCs w:val="24"/>
        </w:rPr>
        <w:t>concerns rest</w:t>
      </w:r>
      <w:r w:rsidR="00C561E8" w:rsidRPr="00605672">
        <w:rPr>
          <w:szCs w:val="24"/>
        </w:rPr>
        <w:t xml:space="preserve"> on </w:t>
      </w:r>
      <w:r w:rsidR="00E06490">
        <w:rPr>
          <w:szCs w:val="24"/>
        </w:rPr>
        <w:t>the</w:t>
      </w:r>
      <w:r w:rsidR="00C561E8" w:rsidRPr="00605672">
        <w:rPr>
          <w:szCs w:val="24"/>
        </w:rPr>
        <w:t xml:space="preserve"> firm’s </w:t>
      </w:r>
      <w:r w:rsidR="00F324E3" w:rsidRPr="00605672">
        <w:rPr>
          <w:szCs w:val="24"/>
        </w:rPr>
        <w:t>investment</w:t>
      </w:r>
      <w:r w:rsidR="00B3010E" w:rsidRPr="00605672">
        <w:rPr>
          <w:szCs w:val="24"/>
        </w:rPr>
        <w:t xml:space="preserve"> decisions</w:t>
      </w:r>
      <w:r w:rsidR="00E06490">
        <w:rPr>
          <w:szCs w:val="24"/>
        </w:rPr>
        <w:t>,</w:t>
      </w:r>
      <w:r w:rsidR="00B3010E" w:rsidRPr="00605672">
        <w:rPr>
          <w:szCs w:val="24"/>
        </w:rPr>
        <w:t xml:space="preserve"> based </w:t>
      </w:r>
      <w:r w:rsidR="00B04DFA" w:rsidRPr="00605672">
        <w:rPr>
          <w:szCs w:val="24"/>
        </w:rPr>
        <w:t xml:space="preserve">on </w:t>
      </w:r>
      <w:r w:rsidR="00761357" w:rsidRPr="00605672">
        <w:rPr>
          <w:szCs w:val="24"/>
        </w:rPr>
        <w:t>expectations</w:t>
      </w:r>
      <w:r w:rsidR="00C561E8" w:rsidRPr="00605672">
        <w:rPr>
          <w:szCs w:val="24"/>
        </w:rPr>
        <w:t xml:space="preserve"> about future</w:t>
      </w:r>
      <w:r w:rsidR="00F324E3" w:rsidRPr="00605672">
        <w:rPr>
          <w:szCs w:val="24"/>
        </w:rPr>
        <w:t xml:space="preserve"> </w:t>
      </w:r>
      <w:r w:rsidR="00F324E3" w:rsidRPr="00605672">
        <w:rPr>
          <w:color w:val="000000"/>
          <w:lang w:eastAsia="en-GB"/>
        </w:rPr>
        <w:t>transaction costs</w:t>
      </w:r>
      <w:r w:rsidR="003F2C64" w:rsidRPr="00605672">
        <w:rPr>
          <w:color w:val="000000"/>
          <w:lang w:eastAsia="en-GB"/>
        </w:rPr>
        <w:t xml:space="preserve"> (</w:t>
      </w:r>
      <w:r w:rsidR="00293076" w:rsidRPr="00605672">
        <w:rPr>
          <w:color w:val="000000"/>
          <w:lang w:eastAsia="en-GB"/>
        </w:rPr>
        <w:t xml:space="preserve">in this case, </w:t>
      </w:r>
      <w:r w:rsidR="00E06490">
        <w:rPr>
          <w:color w:val="000000"/>
          <w:lang w:eastAsia="en-GB"/>
        </w:rPr>
        <w:t>three</w:t>
      </w:r>
      <w:r w:rsidR="003F2C64" w:rsidRPr="00605672">
        <w:rPr>
          <w:color w:val="000000"/>
          <w:lang w:eastAsia="en-GB"/>
        </w:rPr>
        <w:t xml:space="preserve"> years later)</w:t>
      </w:r>
      <w:r w:rsidR="00C561E8" w:rsidRPr="00605672">
        <w:rPr>
          <w:szCs w:val="24"/>
        </w:rPr>
        <w:t xml:space="preserve">. </w:t>
      </w:r>
      <w:r w:rsidR="00E06490">
        <w:rPr>
          <w:szCs w:val="24"/>
        </w:rPr>
        <w:t>As we</w:t>
      </w:r>
      <w:r w:rsidR="00A46237" w:rsidRPr="00605672">
        <w:rPr>
          <w:szCs w:val="24"/>
        </w:rPr>
        <w:t xml:space="preserve"> discussed </w:t>
      </w:r>
      <w:r w:rsidR="00E06490">
        <w:rPr>
          <w:szCs w:val="24"/>
        </w:rPr>
        <w:t>previously</w:t>
      </w:r>
      <w:r w:rsidR="00A46237" w:rsidRPr="00605672">
        <w:rPr>
          <w:szCs w:val="24"/>
        </w:rPr>
        <w:t xml:space="preserve">, </w:t>
      </w:r>
      <w:r w:rsidR="00A46237" w:rsidRPr="00605672">
        <w:rPr>
          <w:color w:val="000000"/>
          <w:lang w:eastAsia="en-GB"/>
        </w:rPr>
        <w:t xml:space="preserve">mutual asymmetric investments (INVDIFF) </w:t>
      </w:r>
      <w:r w:rsidR="00E06490">
        <w:rPr>
          <w:color w:val="000000"/>
          <w:lang w:eastAsia="en-GB"/>
        </w:rPr>
        <w:t xml:space="preserve">are not </w:t>
      </w:r>
      <w:r w:rsidR="00A46237" w:rsidRPr="00605672">
        <w:rPr>
          <w:color w:val="000000"/>
          <w:lang w:eastAsia="en-GB"/>
        </w:rPr>
        <w:t>deliberate governance mechanism</w:t>
      </w:r>
      <w:r w:rsidR="00E06490">
        <w:rPr>
          <w:color w:val="000000"/>
          <w:lang w:eastAsia="en-GB"/>
        </w:rPr>
        <w:t>s</w:t>
      </w:r>
      <w:r w:rsidR="00B3010E" w:rsidRPr="00605672">
        <w:rPr>
          <w:color w:val="000000"/>
          <w:lang w:eastAsia="en-GB"/>
        </w:rPr>
        <w:t xml:space="preserve"> purposely deployed by a focal firm</w:t>
      </w:r>
      <w:r w:rsidR="00A46237" w:rsidRPr="00605672">
        <w:rPr>
          <w:color w:val="000000"/>
          <w:lang w:eastAsia="en-GB"/>
        </w:rPr>
        <w:t xml:space="preserve"> but rather </w:t>
      </w:r>
      <w:r w:rsidR="00E06490">
        <w:rPr>
          <w:color w:val="000000"/>
          <w:lang w:eastAsia="en-GB"/>
        </w:rPr>
        <w:t xml:space="preserve">constitute an </w:t>
      </w:r>
      <w:r w:rsidR="00A46237" w:rsidRPr="00605672">
        <w:rPr>
          <w:color w:val="000000"/>
          <w:lang w:eastAsia="en-GB"/>
        </w:rPr>
        <w:t xml:space="preserve">emergent governance structure (e.g., Heide and John 1988; </w:t>
      </w:r>
      <w:r w:rsidR="00B3010E" w:rsidRPr="00605672">
        <w:rPr>
          <w:color w:val="000000"/>
          <w:lang w:eastAsia="en-GB"/>
        </w:rPr>
        <w:t>Williamson 1985).</w:t>
      </w:r>
      <w:r w:rsidR="00A65A03" w:rsidRPr="00605672">
        <w:rPr>
          <w:color w:val="000000"/>
          <w:lang w:eastAsia="en-GB"/>
        </w:rPr>
        <w:t xml:space="preserve"> </w:t>
      </w:r>
      <w:r w:rsidR="00E06490">
        <w:rPr>
          <w:color w:val="000000"/>
          <w:lang w:eastAsia="en-GB"/>
        </w:rPr>
        <w:t>Still</w:t>
      </w:r>
      <w:r w:rsidR="00565877" w:rsidRPr="00605672">
        <w:rPr>
          <w:color w:val="000000"/>
          <w:lang w:eastAsia="en-GB"/>
        </w:rPr>
        <w:t xml:space="preserve">, we </w:t>
      </w:r>
      <w:r w:rsidR="00293076" w:rsidRPr="00605672">
        <w:rPr>
          <w:color w:val="000000"/>
          <w:lang w:eastAsia="en-GB"/>
        </w:rPr>
        <w:t xml:space="preserve">formally </w:t>
      </w:r>
      <w:r w:rsidR="00565877" w:rsidRPr="00605672">
        <w:rPr>
          <w:color w:val="000000"/>
          <w:lang w:eastAsia="en-GB"/>
        </w:rPr>
        <w:t>check</w:t>
      </w:r>
      <w:r w:rsidR="007879A7" w:rsidRPr="00605672">
        <w:rPr>
          <w:color w:val="000000"/>
          <w:lang w:eastAsia="en-GB"/>
        </w:rPr>
        <w:t>, using the l</w:t>
      </w:r>
      <w:r w:rsidR="00C1362C" w:rsidRPr="00605672">
        <w:rPr>
          <w:color w:val="000000"/>
          <w:lang w:eastAsia="en-GB"/>
        </w:rPr>
        <w:t xml:space="preserve">arger sample available at time </w:t>
      </w:r>
      <w:r w:rsidR="007879A7" w:rsidRPr="00605672">
        <w:rPr>
          <w:color w:val="000000"/>
          <w:lang w:eastAsia="en-GB"/>
        </w:rPr>
        <w:t>1</w:t>
      </w:r>
      <w:r w:rsidR="003F2C64" w:rsidRPr="00605672">
        <w:rPr>
          <w:color w:val="000000"/>
          <w:lang w:eastAsia="en-GB"/>
        </w:rPr>
        <w:t xml:space="preserve">, </w:t>
      </w:r>
      <w:r w:rsidR="007879A7" w:rsidRPr="00605672">
        <w:rPr>
          <w:color w:val="000000"/>
          <w:lang w:eastAsia="en-GB"/>
        </w:rPr>
        <w:t xml:space="preserve">for endogeneity </w:t>
      </w:r>
      <w:r w:rsidR="00E06490">
        <w:rPr>
          <w:color w:val="000000"/>
          <w:lang w:eastAsia="en-GB"/>
        </w:rPr>
        <w:t xml:space="preserve">in </w:t>
      </w:r>
      <w:r w:rsidR="00293076" w:rsidRPr="00605672">
        <w:rPr>
          <w:color w:val="000000"/>
          <w:lang w:eastAsia="en-GB"/>
        </w:rPr>
        <w:t xml:space="preserve">both </w:t>
      </w:r>
      <w:r w:rsidR="003F2C64" w:rsidRPr="00605672">
        <w:rPr>
          <w:color w:val="000000"/>
          <w:lang w:eastAsia="en-GB"/>
        </w:rPr>
        <w:t xml:space="preserve">INVDIFF </w:t>
      </w:r>
      <w:r w:rsidR="00293076" w:rsidRPr="00605672">
        <w:rPr>
          <w:color w:val="000000"/>
          <w:lang w:eastAsia="en-GB"/>
        </w:rPr>
        <w:t xml:space="preserve">and </w:t>
      </w:r>
      <w:r w:rsidR="00565877" w:rsidRPr="00605672">
        <w:rPr>
          <w:color w:val="000000"/>
          <w:lang w:eastAsia="en-GB"/>
        </w:rPr>
        <w:t xml:space="preserve">the </w:t>
      </w:r>
      <w:r w:rsidR="00750C94" w:rsidRPr="00605672">
        <w:rPr>
          <w:color w:val="000000"/>
          <w:lang w:eastAsia="en-GB"/>
        </w:rPr>
        <w:t xml:space="preserve">initial </w:t>
      </w:r>
      <w:r w:rsidR="003F2C64" w:rsidRPr="00605672">
        <w:rPr>
          <w:color w:val="000000"/>
          <w:lang w:eastAsia="en-GB"/>
        </w:rPr>
        <w:t>investments</w:t>
      </w:r>
      <w:r w:rsidR="00B3010E" w:rsidRPr="00605672">
        <w:rPr>
          <w:color w:val="000000"/>
          <w:lang w:eastAsia="en-GB"/>
        </w:rPr>
        <w:t xml:space="preserve">, </w:t>
      </w:r>
      <w:r w:rsidR="003F0473" w:rsidRPr="00605672">
        <w:rPr>
          <w:color w:val="000000"/>
          <w:lang w:eastAsia="en-GB"/>
        </w:rPr>
        <w:t xml:space="preserve">using </w:t>
      </w:r>
      <w:r w:rsidR="00B3010E" w:rsidRPr="00605672">
        <w:rPr>
          <w:color w:val="000000"/>
          <w:lang w:eastAsia="en-GB"/>
        </w:rPr>
        <w:t xml:space="preserve">the Durbin-Wu-Hausman test, as </w:t>
      </w:r>
      <w:r w:rsidR="00E06490">
        <w:rPr>
          <w:color w:val="000000"/>
          <w:lang w:eastAsia="en-GB"/>
        </w:rPr>
        <w:t xml:space="preserve">recommended by </w:t>
      </w:r>
      <w:r w:rsidR="00B3010E" w:rsidRPr="00605672">
        <w:rPr>
          <w:color w:val="000000"/>
          <w:lang w:eastAsia="en-GB"/>
        </w:rPr>
        <w:t xml:space="preserve">Davidson and MacKinnon (1993). Specifically, </w:t>
      </w:r>
      <w:r w:rsidR="00B3010E" w:rsidRPr="00605672">
        <w:rPr>
          <w:szCs w:val="24"/>
        </w:rPr>
        <w:t xml:space="preserve">we predict </w:t>
      </w:r>
      <w:r w:rsidR="00750C94" w:rsidRPr="00605672">
        <w:rPr>
          <w:szCs w:val="24"/>
        </w:rPr>
        <w:t>each</w:t>
      </w:r>
      <w:r w:rsidR="00B04DFA" w:rsidRPr="00605672">
        <w:rPr>
          <w:szCs w:val="24"/>
        </w:rPr>
        <w:t xml:space="preserve"> investment variable</w:t>
      </w:r>
      <w:r w:rsidR="00A46D56" w:rsidRPr="00605672">
        <w:rPr>
          <w:szCs w:val="24"/>
        </w:rPr>
        <w:t xml:space="preserve"> </w:t>
      </w:r>
      <w:r w:rsidR="008431B0" w:rsidRPr="00605672">
        <w:rPr>
          <w:szCs w:val="24"/>
        </w:rPr>
        <w:t xml:space="preserve">and </w:t>
      </w:r>
      <w:r w:rsidR="00F4549C" w:rsidRPr="00605672">
        <w:rPr>
          <w:szCs w:val="24"/>
        </w:rPr>
        <w:t>retain their residuals in the outcome equation</w:t>
      </w:r>
      <w:r w:rsidR="00B04DFA" w:rsidRPr="00605672">
        <w:rPr>
          <w:szCs w:val="24"/>
        </w:rPr>
        <w:t>. W</w:t>
      </w:r>
      <w:r w:rsidR="00F4549C" w:rsidRPr="00605672">
        <w:rPr>
          <w:szCs w:val="24"/>
        </w:rPr>
        <w:t>e</w:t>
      </w:r>
      <w:r w:rsidR="008431B0" w:rsidRPr="00605672">
        <w:rPr>
          <w:szCs w:val="24"/>
        </w:rPr>
        <w:t xml:space="preserve"> omit</w:t>
      </w:r>
      <w:r w:rsidR="00F4549C" w:rsidRPr="00605672">
        <w:rPr>
          <w:szCs w:val="24"/>
        </w:rPr>
        <w:t xml:space="preserve"> </w:t>
      </w:r>
      <w:r w:rsidR="00A32C91" w:rsidRPr="00605672">
        <w:rPr>
          <w:szCs w:val="24"/>
        </w:rPr>
        <w:t>demand unpredictability</w:t>
      </w:r>
      <w:r w:rsidR="00750C94" w:rsidRPr="00605672">
        <w:rPr>
          <w:szCs w:val="24"/>
        </w:rPr>
        <w:t xml:space="preserve"> and </w:t>
      </w:r>
      <w:r w:rsidR="007B5227" w:rsidRPr="00605672">
        <w:rPr>
          <w:szCs w:val="24"/>
        </w:rPr>
        <w:t xml:space="preserve">relative </w:t>
      </w:r>
      <w:r w:rsidR="00750C94" w:rsidRPr="00605672">
        <w:rPr>
          <w:szCs w:val="24"/>
        </w:rPr>
        <w:t>size for instrument</w:t>
      </w:r>
      <w:r w:rsidR="00E06490">
        <w:rPr>
          <w:szCs w:val="24"/>
        </w:rPr>
        <w:t>al</w:t>
      </w:r>
      <w:r w:rsidR="00750C94" w:rsidRPr="00605672">
        <w:rPr>
          <w:szCs w:val="24"/>
        </w:rPr>
        <w:t xml:space="preserve"> purposes</w:t>
      </w:r>
      <w:r w:rsidR="009A7282" w:rsidRPr="00605672">
        <w:rPr>
          <w:szCs w:val="24"/>
        </w:rPr>
        <w:t xml:space="preserve"> (Table 2)</w:t>
      </w:r>
      <w:r w:rsidR="00E06490">
        <w:rPr>
          <w:szCs w:val="24"/>
        </w:rPr>
        <w:t xml:space="preserve">, </w:t>
      </w:r>
      <w:r w:rsidR="00ED36D1" w:rsidRPr="00605672">
        <w:rPr>
          <w:szCs w:val="24"/>
        </w:rPr>
        <w:t>consistent with Garen</w:t>
      </w:r>
      <w:r w:rsidR="00A65A03" w:rsidRPr="00605672">
        <w:rPr>
          <w:szCs w:val="24"/>
        </w:rPr>
        <w:t>’s</w:t>
      </w:r>
      <w:r w:rsidR="00ED36D1" w:rsidRPr="00605672">
        <w:rPr>
          <w:szCs w:val="24"/>
        </w:rPr>
        <w:t xml:space="preserve"> (1984) </w:t>
      </w:r>
      <w:r w:rsidR="00A65A03" w:rsidRPr="00605672">
        <w:rPr>
          <w:szCs w:val="24"/>
        </w:rPr>
        <w:t>approach</w:t>
      </w:r>
      <w:r w:rsidR="00750C94" w:rsidRPr="00605672">
        <w:rPr>
          <w:szCs w:val="24"/>
        </w:rPr>
        <w:t xml:space="preserve"> and</w:t>
      </w:r>
      <w:r w:rsidR="00A65A03" w:rsidRPr="00605672">
        <w:rPr>
          <w:szCs w:val="24"/>
        </w:rPr>
        <w:t xml:space="preserve"> </w:t>
      </w:r>
      <w:r w:rsidR="00ED36D1" w:rsidRPr="00605672">
        <w:rPr>
          <w:szCs w:val="24"/>
        </w:rPr>
        <w:t xml:space="preserve">as implemented </w:t>
      </w:r>
      <w:r w:rsidR="00A65A03" w:rsidRPr="00605672">
        <w:rPr>
          <w:szCs w:val="24"/>
        </w:rPr>
        <w:t xml:space="preserve">in </w:t>
      </w:r>
      <w:r w:rsidR="004F373D" w:rsidRPr="00605672">
        <w:rPr>
          <w:szCs w:val="24"/>
        </w:rPr>
        <w:t xml:space="preserve">recent </w:t>
      </w:r>
      <w:r w:rsidR="00A65A03" w:rsidRPr="00605672">
        <w:rPr>
          <w:szCs w:val="24"/>
        </w:rPr>
        <w:t>governance research</w:t>
      </w:r>
      <w:r w:rsidR="0070469E" w:rsidRPr="00605672">
        <w:rPr>
          <w:szCs w:val="24"/>
        </w:rPr>
        <w:t xml:space="preserve"> </w:t>
      </w:r>
      <w:r w:rsidR="009C3545" w:rsidRPr="00605672">
        <w:rPr>
          <w:szCs w:val="24"/>
        </w:rPr>
        <w:t>(</w:t>
      </w:r>
      <w:r w:rsidR="00A65A03" w:rsidRPr="00605672">
        <w:rPr>
          <w:szCs w:val="24"/>
        </w:rPr>
        <w:t>e.g.</w:t>
      </w:r>
      <w:r w:rsidR="00E06490">
        <w:rPr>
          <w:szCs w:val="24"/>
        </w:rPr>
        <w:t>,</w:t>
      </w:r>
      <w:r w:rsidR="0070469E" w:rsidRPr="00605672">
        <w:rPr>
          <w:szCs w:val="24"/>
        </w:rPr>
        <w:t xml:space="preserve"> </w:t>
      </w:r>
      <w:r w:rsidR="00750C94" w:rsidRPr="00605672">
        <w:rPr>
          <w:szCs w:val="24"/>
        </w:rPr>
        <w:t>Butt</w:t>
      </w:r>
      <w:r w:rsidR="00E06490">
        <w:rPr>
          <w:szCs w:val="24"/>
        </w:rPr>
        <w:t xml:space="preserve"> et al. </w:t>
      </w:r>
      <w:r w:rsidR="00750C94" w:rsidRPr="00605672">
        <w:rPr>
          <w:szCs w:val="24"/>
        </w:rPr>
        <w:t>2018</w:t>
      </w:r>
      <w:r w:rsidR="0070469E" w:rsidRPr="00605672">
        <w:rPr>
          <w:szCs w:val="24"/>
        </w:rPr>
        <w:t>;</w:t>
      </w:r>
      <w:r w:rsidR="00750C94" w:rsidRPr="00605672">
        <w:rPr>
          <w:szCs w:val="24"/>
        </w:rPr>
        <w:t xml:space="preserve"> </w:t>
      </w:r>
      <w:r w:rsidR="001A0B01" w:rsidRPr="00605672">
        <w:t>Chakravarty, Kumar, and Grewal 2014</w:t>
      </w:r>
      <w:r w:rsidR="0070469E" w:rsidRPr="00605672">
        <w:t>;</w:t>
      </w:r>
      <w:r w:rsidR="00750C94" w:rsidRPr="00605672">
        <w:t xml:space="preserve"> Kashyap and Murtha 2017)</w:t>
      </w:r>
      <w:r w:rsidR="001A0B01" w:rsidRPr="00605672">
        <w:t>.</w:t>
      </w:r>
      <w:r w:rsidR="00CF7569" w:rsidRPr="00605672">
        <w:t xml:space="preserve"> </w:t>
      </w:r>
      <w:r w:rsidR="00AE1DFA" w:rsidRPr="00605672">
        <w:t>The results (</w:t>
      </w:r>
      <w:r w:rsidR="000D001E" w:rsidRPr="00605672">
        <w:rPr>
          <w:i/>
        </w:rPr>
        <w:t>p</w:t>
      </w:r>
      <w:r w:rsidR="00AE1DFA" w:rsidRPr="00605672">
        <w:t xml:space="preserve"> &gt;</w:t>
      </w:r>
      <w:r w:rsidR="00E06490">
        <w:t xml:space="preserve"> </w:t>
      </w:r>
      <w:r w:rsidR="00AE1DFA" w:rsidRPr="00605672">
        <w:t xml:space="preserve">.10) </w:t>
      </w:r>
      <w:r w:rsidR="007879A7" w:rsidRPr="00605672">
        <w:t xml:space="preserve">suggest </w:t>
      </w:r>
      <w:r w:rsidR="00E06490">
        <w:t>the</w:t>
      </w:r>
      <w:r w:rsidR="007879A7" w:rsidRPr="00605672">
        <w:t xml:space="preserve"> absence</w:t>
      </w:r>
      <w:r w:rsidR="008F353B" w:rsidRPr="00605672">
        <w:t xml:space="preserve"> of endogeneity</w:t>
      </w:r>
      <w:r w:rsidR="006D4EA6" w:rsidRPr="00605672">
        <w:t xml:space="preserve"> </w:t>
      </w:r>
      <w:r w:rsidR="00E06490">
        <w:t xml:space="preserve">among </w:t>
      </w:r>
      <w:r w:rsidR="006D4EA6" w:rsidRPr="00605672">
        <w:t>INVDIFF, SINVT1, and RINVT1</w:t>
      </w:r>
      <w:r w:rsidR="008F353B" w:rsidRPr="00605672">
        <w:t>.</w:t>
      </w:r>
      <w:r w:rsidR="007879A7" w:rsidRPr="00605672">
        <w:t xml:space="preserve"> </w:t>
      </w:r>
      <w:r w:rsidR="0070469E" w:rsidRPr="00605672">
        <w:t>We follow</w:t>
      </w:r>
      <w:r w:rsidR="007879A7" w:rsidRPr="00605672">
        <w:t xml:space="preserve"> the same</w:t>
      </w:r>
      <w:r w:rsidR="0070469E" w:rsidRPr="00605672">
        <w:t xml:space="preserve"> procedure </w:t>
      </w:r>
      <w:r w:rsidR="007879A7" w:rsidRPr="00605672">
        <w:t xml:space="preserve">for </w:t>
      </w:r>
      <w:r w:rsidR="006D4EA6" w:rsidRPr="00605672">
        <w:t xml:space="preserve">the </w:t>
      </w:r>
      <w:r w:rsidR="008F353B" w:rsidRPr="00605672">
        <w:t>incremental investment</w:t>
      </w:r>
      <w:r w:rsidR="0070469E" w:rsidRPr="00605672">
        <w:t xml:space="preserve"> </w:t>
      </w:r>
      <w:r w:rsidR="004F373D" w:rsidRPr="00605672">
        <w:t xml:space="preserve">variables </w:t>
      </w:r>
      <w:r w:rsidR="008F353B" w:rsidRPr="00605672">
        <w:t>(SINVT2 and RINVT2)</w:t>
      </w:r>
      <w:r w:rsidR="006D4EA6" w:rsidRPr="00605672">
        <w:t xml:space="preserve"> </w:t>
      </w:r>
      <w:r w:rsidR="007879A7" w:rsidRPr="00605672">
        <w:t xml:space="preserve">using the smaller sample size available at T2, </w:t>
      </w:r>
      <w:r w:rsidR="004F373D" w:rsidRPr="00605672">
        <w:t xml:space="preserve">again retaining their </w:t>
      </w:r>
      <w:r w:rsidR="006D4EA6" w:rsidRPr="00605672">
        <w:t>residuals</w:t>
      </w:r>
      <w:r w:rsidR="008F353B" w:rsidRPr="00605672">
        <w:t>.</w:t>
      </w:r>
      <w:r w:rsidR="00644F2E" w:rsidRPr="00605672">
        <w:t xml:space="preserve"> </w:t>
      </w:r>
      <w:r w:rsidRPr="00605672">
        <w:rPr>
          <w:szCs w:val="24"/>
        </w:rPr>
        <w:t xml:space="preserve">The </w:t>
      </w:r>
      <w:r w:rsidR="0025336C" w:rsidRPr="00605672">
        <w:rPr>
          <w:szCs w:val="24"/>
        </w:rPr>
        <w:t xml:space="preserve">final </w:t>
      </w:r>
      <w:r w:rsidRPr="00605672">
        <w:rPr>
          <w:szCs w:val="24"/>
        </w:rPr>
        <w:t xml:space="preserve">model </w:t>
      </w:r>
      <w:r w:rsidR="00C77952" w:rsidRPr="00605672">
        <w:rPr>
          <w:szCs w:val="24"/>
        </w:rPr>
        <w:t xml:space="preserve">consists of </w:t>
      </w:r>
      <w:r w:rsidR="0089722F" w:rsidRPr="00605672">
        <w:rPr>
          <w:szCs w:val="24"/>
        </w:rPr>
        <w:t xml:space="preserve">the following three </w:t>
      </w:r>
      <w:r w:rsidR="00A32C91" w:rsidRPr="00605672">
        <w:rPr>
          <w:szCs w:val="24"/>
        </w:rPr>
        <w:t>regression equations</w:t>
      </w:r>
      <w:r w:rsidR="00736373" w:rsidRPr="00605672">
        <w:rPr>
          <w:szCs w:val="24"/>
        </w:rPr>
        <w:t>:</w:t>
      </w:r>
      <w:r w:rsidR="00100690" w:rsidRPr="00605672">
        <w:rPr>
          <w:rStyle w:val="FootnoteReference"/>
          <w:szCs w:val="24"/>
        </w:rPr>
        <w:footnoteReference w:id="7"/>
      </w:r>
    </w:p>
    <w:p w14:paraId="69D1527F" w14:textId="3C8498EF" w:rsidR="00D1515B" w:rsidRPr="00605672" w:rsidRDefault="00D1515B" w:rsidP="00D1515B">
      <w:pPr>
        <w:spacing w:line="480" w:lineRule="auto"/>
      </w:pPr>
      <w:r w:rsidRPr="00605672">
        <w:t>(1)</w:t>
      </w:r>
      <w:r w:rsidRPr="00605672">
        <w:tab/>
      </w:r>
      <w:r w:rsidR="00756B07" w:rsidRPr="00605672">
        <w:rPr>
          <w:color w:val="000000"/>
        </w:rPr>
        <w:t>STCT2</w:t>
      </w:r>
      <w:r w:rsidRPr="00605672">
        <w:rPr>
          <w:vertAlign w:val="subscript"/>
        </w:rPr>
        <w:t>i</w:t>
      </w:r>
      <w:r w:rsidRPr="00605672">
        <w:t xml:space="preserve"> = </w:t>
      </w:r>
      <w:r w:rsidRPr="00605672">
        <w:rPr>
          <w:rFonts w:hint="eastAsia"/>
        </w:rPr>
        <w:t>β</w:t>
      </w:r>
      <w:r w:rsidRPr="00605672">
        <w:rPr>
          <w:vertAlign w:val="subscript"/>
        </w:rPr>
        <w:t>1</w:t>
      </w:r>
      <w:r w:rsidR="00AA5B5D" w:rsidRPr="00727D37">
        <w:t xml:space="preserve"> </w:t>
      </w:r>
      <w:r w:rsidR="00E94A67" w:rsidRPr="00605672">
        <w:t>+</w:t>
      </w:r>
      <w:r w:rsidRPr="00605672">
        <w:rPr>
          <w:rFonts w:hint="eastAsia"/>
        </w:rPr>
        <w:t>β</w:t>
      </w:r>
      <w:r w:rsidR="0021695D" w:rsidRPr="00605672">
        <w:rPr>
          <w:vertAlign w:val="subscript"/>
        </w:rPr>
        <w:t>2</w:t>
      </w:r>
      <w:r w:rsidR="00A346B5" w:rsidRPr="00605672">
        <w:rPr>
          <w:color w:val="000000"/>
        </w:rPr>
        <w:t>SINVT2</w:t>
      </w:r>
      <w:r w:rsidRPr="00605672">
        <w:rPr>
          <w:vertAlign w:val="subscript"/>
        </w:rPr>
        <w:t>i</w:t>
      </w:r>
      <w:r w:rsidR="00AA5B5D" w:rsidRPr="00727D37">
        <w:t xml:space="preserve"> </w:t>
      </w:r>
      <w:r w:rsidR="00E94A67" w:rsidRPr="00605672">
        <w:t>+</w:t>
      </w:r>
      <w:r w:rsidRPr="00605672">
        <w:rPr>
          <w:rFonts w:hint="eastAsia"/>
        </w:rPr>
        <w:t>β</w:t>
      </w:r>
      <w:r w:rsidR="0021695D" w:rsidRPr="00605672">
        <w:rPr>
          <w:vertAlign w:val="subscript"/>
        </w:rPr>
        <w:t>3</w:t>
      </w:r>
      <w:r w:rsidR="00A346B5" w:rsidRPr="00605672">
        <w:t>RINVT2</w:t>
      </w:r>
      <w:r w:rsidRPr="00605672">
        <w:rPr>
          <w:vertAlign w:val="subscript"/>
        </w:rPr>
        <w:t>i</w:t>
      </w:r>
      <w:r w:rsidR="00AA5B5D" w:rsidRPr="00727D37">
        <w:t xml:space="preserve"> </w:t>
      </w:r>
      <w:r w:rsidRPr="00605672">
        <w:t>+</w:t>
      </w:r>
      <w:r w:rsidR="00E94A67" w:rsidRPr="00605672">
        <w:rPr>
          <w:rFonts w:hint="eastAsia"/>
        </w:rPr>
        <w:t>β</w:t>
      </w:r>
      <w:r w:rsidR="0021695D" w:rsidRPr="00605672">
        <w:rPr>
          <w:vertAlign w:val="subscript"/>
        </w:rPr>
        <w:t>4</w:t>
      </w:r>
      <w:r w:rsidR="00E94A67" w:rsidRPr="00605672">
        <w:rPr>
          <w:color w:val="000000"/>
        </w:rPr>
        <w:t>SINVT1</w:t>
      </w:r>
      <w:r w:rsidR="00E94A67" w:rsidRPr="00605672">
        <w:rPr>
          <w:color w:val="000000"/>
          <w:vertAlign w:val="subscript"/>
        </w:rPr>
        <w:t>i</w:t>
      </w:r>
      <w:r w:rsidR="00E06490">
        <w:rPr>
          <w:color w:val="000000"/>
        </w:rPr>
        <w:t xml:space="preserve"> </w:t>
      </w:r>
      <w:r w:rsidR="00E94A67" w:rsidRPr="00605672">
        <w:t>+</w:t>
      </w:r>
      <w:r w:rsidR="00E94A67" w:rsidRPr="00605672">
        <w:rPr>
          <w:rFonts w:hint="eastAsia"/>
        </w:rPr>
        <w:t xml:space="preserve"> </w:t>
      </w:r>
      <w:r w:rsidR="00E94A67" w:rsidRPr="00605672">
        <w:rPr>
          <w:rFonts w:hint="eastAsia"/>
        </w:rPr>
        <w:t>β</w:t>
      </w:r>
      <w:r w:rsidR="0021695D" w:rsidRPr="00605672">
        <w:rPr>
          <w:vertAlign w:val="subscript"/>
        </w:rPr>
        <w:t>5</w:t>
      </w:r>
      <w:r w:rsidR="00E94A67" w:rsidRPr="00605672">
        <w:rPr>
          <w:color w:val="000000"/>
        </w:rPr>
        <w:t>INVDIFF</w:t>
      </w:r>
      <w:r w:rsidR="00E06490">
        <w:rPr>
          <w:color w:val="000000"/>
          <w:vertAlign w:val="subscript"/>
        </w:rPr>
        <w:t>i</w:t>
      </w:r>
      <w:r w:rsidR="00E06490">
        <w:rPr>
          <w:color w:val="000000"/>
        </w:rPr>
        <w:t xml:space="preserve"> </w:t>
      </w:r>
      <w:r w:rsidR="00E94A67" w:rsidRPr="00605672">
        <w:rPr>
          <w:color w:val="000000"/>
        </w:rPr>
        <w:t>+</w:t>
      </w:r>
      <w:r w:rsidR="00E94A67" w:rsidRPr="00605672">
        <w:rPr>
          <w:rFonts w:hint="eastAsia"/>
        </w:rPr>
        <w:t xml:space="preserve"> </w:t>
      </w:r>
      <w:r w:rsidRPr="00605672">
        <w:rPr>
          <w:rFonts w:hint="eastAsia"/>
        </w:rPr>
        <w:t>β</w:t>
      </w:r>
      <w:r w:rsidR="0021695D" w:rsidRPr="00605672">
        <w:rPr>
          <w:vertAlign w:val="subscript"/>
        </w:rPr>
        <w:t>6</w:t>
      </w:r>
      <w:r w:rsidR="003B7993" w:rsidRPr="00605672">
        <w:rPr>
          <w:color w:val="000000"/>
        </w:rPr>
        <w:t>SSEL</w:t>
      </w:r>
      <w:r w:rsidR="00A346B5" w:rsidRPr="00605672">
        <w:rPr>
          <w:color w:val="000000"/>
        </w:rPr>
        <w:t>T1</w:t>
      </w:r>
      <w:r w:rsidRPr="00605672">
        <w:rPr>
          <w:vertAlign w:val="subscript"/>
        </w:rPr>
        <w:t>i</w:t>
      </w:r>
      <w:r w:rsidR="00E06490">
        <w:t xml:space="preserve"> </w:t>
      </w:r>
      <w:r w:rsidR="00E94A67" w:rsidRPr="00605672">
        <w:t>+</w:t>
      </w:r>
      <w:r w:rsidRPr="00605672">
        <w:rPr>
          <w:rFonts w:hint="eastAsia"/>
        </w:rPr>
        <w:t>β</w:t>
      </w:r>
      <w:r w:rsidR="00A32C91" w:rsidRPr="00605672">
        <w:rPr>
          <w:vertAlign w:val="subscript"/>
        </w:rPr>
        <w:t>7</w:t>
      </w:r>
      <w:r w:rsidR="003B7993" w:rsidRPr="00605672">
        <w:t>RSEL</w:t>
      </w:r>
      <w:r w:rsidR="00A346B5" w:rsidRPr="00605672">
        <w:t>T1</w:t>
      </w:r>
      <w:r w:rsidRPr="00605672">
        <w:rPr>
          <w:vertAlign w:val="subscript"/>
        </w:rPr>
        <w:t>i</w:t>
      </w:r>
      <w:r w:rsidR="00E06490">
        <w:t xml:space="preserve"> </w:t>
      </w:r>
      <w:r w:rsidRPr="00605672">
        <w:t>+</w:t>
      </w:r>
      <w:r w:rsidR="005D582B" w:rsidRPr="00605672">
        <w:rPr>
          <w:rFonts w:hint="eastAsia"/>
        </w:rPr>
        <w:t xml:space="preserve"> </w:t>
      </w:r>
      <w:r w:rsidR="005D582B" w:rsidRPr="00605672">
        <w:rPr>
          <w:rFonts w:hint="eastAsia"/>
        </w:rPr>
        <w:t>β</w:t>
      </w:r>
      <w:r w:rsidR="00A32C91" w:rsidRPr="00605672">
        <w:rPr>
          <w:vertAlign w:val="subscript"/>
        </w:rPr>
        <w:t>8</w:t>
      </w:r>
      <w:r w:rsidR="000C5787" w:rsidRPr="00605672">
        <w:rPr>
          <w:rFonts w:eastAsia="Times New Roman"/>
        </w:rPr>
        <w:t>SINVT2*</w:t>
      </w:r>
      <w:r w:rsidR="003B7993" w:rsidRPr="00605672">
        <w:rPr>
          <w:rFonts w:eastAsia="Times New Roman"/>
        </w:rPr>
        <w:t>SSEL</w:t>
      </w:r>
      <w:r w:rsidR="000C5787" w:rsidRPr="00605672">
        <w:rPr>
          <w:rFonts w:eastAsia="Times New Roman"/>
        </w:rPr>
        <w:t>T1</w:t>
      </w:r>
      <w:r w:rsidR="00E06490">
        <w:rPr>
          <w:rFonts w:eastAsia="Times New Roman"/>
        </w:rPr>
        <w:t xml:space="preserve"> </w:t>
      </w:r>
      <w:r w:rsidR="000C5787" w:rsidRPr="00605672">
        <w:rPr>
          <w:rFonts w:eastAsia="Times New Roman"/>
        </w:rPr>
        <w:t xml:space="preserve">+ </w:t>
      </w:r>
      <w:r w:rsidR="005D582B" w:rsidRPr="00605672">
        <w:rPr>
          <w:rFonts w:hint="eastAsia"/>
        </w:rPr>
        <w:t>β</w:t>
      </w:r>
      <w:r w:rsidR="00A32C91" w:rsidRPr="00605672">
        <w:rPr>
          <w:vertAlign w:val="subscript"/>
        </w:rPr>
        <w:t>9</w:t>
      </w:r>
      <w:r w:rsidR="003B7993" w:rsidRPr="00605672">
        <w:rPr>
          <w:rFonts w:eastAsia="Times New Roman"/>
        </w:rPr>
        <w:t>SSEL</w:t>
      </w:r>
      <w:r w:rsidR="000C5787" w:rsidRPr="00605672">
        <w:rPr>
          <w:rFonts w:eastAsia="Times New Roman"/>
        </w:rPr>
        <w:t>T1*INVDIFF</w:t>
      </w:r>
      <w:r w:rsidR="00E06490">
        <w:rPr>
          <w:rFonts w:eastAsia="Times New Roman"/>
        </w:rPr>
        <w:t xml:space="preserve"> </w:t>
      </w:r>
      <w:r w:rsidR="000C5787" w:rsidRPr="00605672">
        <w:rPr>
          <w:rFonts w:eastAsia="Times New Roman"/>
        </w:rPr>
        <w:t>+</w:t>
      </w:r>
      <w:r w:rsidR="006B4710" w:rsidRPr="00605672">
        <w:rPr>
          <w:rFonts w:hint="eastAsia"/>
        </w:rPr>
        <w:t xml:space="preserve"> </w:t>
      </w:r>
      <w:r w:rsidR="006B4710" w:rsidRPr="00605672">
        <w:rPr>
          <w:rFonts w:hint="eastAsia"/>
        </w:rPr>
        <w:t>β</w:t>
      </w:r>
      <w:r w:rsidR="00A32C91" w:rsidRPr="00605672">
        <w:rPr>
          <w:vertAlign w:val="subscript"/>
        </w:rPr>
        <w:t>10</w:t>
      </w:r>
      <w:r w:rsidR="000C5787" w:rsidRPr="00605672">
        <w:rPr>
          <w:rFonts w:eastAsia="Times New Roman"/>
        </w:rPr>
        <w:t xml:space="preserve"> SINVT2*INVDIFF</w:t>
      </w:r>
      <w:r w:rsidR="00E06490">
        <w:rPr>
          <w:rFonts w:eastAsia="Times New Roman"/>
        </w:rPr>
        <w:t xml:space="preserve"> </w:t>
      </w:r>
      <w:r w:rsidR="000C5787" w:rsidRPr="00605672">
        <w:rPr>
          <w:rFonts w:eastAsia="Times New Roman"/>
        </w:rPr>
        <w:t xml:space="preserve">+ </w:t>
      </w:r>
      <w:r w:rsidR="006B4710" w:rsidRPr="00605672">
        <w:rPr>
          <w:rFonts w:hint="eastAsia"/>
        </w:rPr>
        <w:t>β</w:t>
      </w:r>
      <w:r w:rsidR="0021695D" w:rsidRPr="00605672">
        <w:rPr>
          <w:vertAlign w:val="subscript"/>
        </w:rPr>
        <w:lastRenderedPageBreak/>
        <w:t>1</w:t>
      </w:r>
      <w:r w:rsidR="00A32C91" w:rsidRPr="00605672">
        <w:rPr>
          <w:vertAlign w:val="subscript"/>
        </w:rPr>
        <w:t>1</w:t>
      </w:r>
      <w:r w:rsidR="000C5787" w:rsidRPr="00605672">
        <w:rPr>
          <w:rFonts w:eastAsia="Times New Roman"/>
        </w:rPr>
        <w:t>SINVT2*INVDIFF*</w:t>
      </w:r>
      <w:r w:rsidR="003B7993" w:rsidRPr="00605672">
        <w:rPr>
          <w:rFonts w:eastAsia="Times New Roman"/>
        </w:rPr>
        <w:t>SSEL</w:t>
      </w:r>
      <w:r w:rsidR="000C5787" w:rsidRPr="00605672">
        <w:rPr>
          <w:rFonts w:eastAsia="Times New Roman"/>
        </w:rPr>
        <w:t>T1</w:t>
      </w:r>
      <w:r w:rsidR="00E06490">
        <w:rPr>
          <w:rFonts w:eastAsia="Times New Roman"/>
        </w:rPr>
        <w:t xml:space="preserve"> </w:t>
      </w:r>
      <w:r w:rsidR="0021695D" w:rsidRPr="00605672">
        <w:rPr>
          <w:rFonts w:eastAsia="Times New Roman"/>
        </w:rPr>
        <w:t>+</w:t>
      </w:r>
      <w:r w:rsidR="0021695D" w:rsidRPr="00605672">
        <w:rPr>
          <w:rFonts w:hint="eastAsia"/>
        </w:rPr>
        <w:t xml:space="preserve"> </w:t>
      </w:r>
      <w:r w:rsidR="0021695D" w:rsidRPr="00605672">
        <w:rPr>
          <w:rFonts w:hint="eastAsia"/>
        </w:rPr>
        <w:t>β</w:t>
      </w:r>
      <w:r w:rsidR="0021695D" w:rsidRPr="00605672">
        <w:rPr>
          <w:vertAlign w:val="subscript"/>
        </w:rPr>
        <w:t>1</w:t>
      </w:r>
      <w:r w:rsidR="00A32C91" w:rsidRPr="00605672">
        <w:rPr>
          <w:vertAlign w:val="subscript"/>
        </w:rPr>
        <w:t>2</w:t>
      </w:r>
      <w:r w:rsidR="0021695D" w:rsidRPr="00605672">
        <w:t>Type of agreement</w:t>
      </w:r>
      <w:r w:rsidR="00E06490">
        <w:t xml:space="preserve"> </w:t>
      </w:r>
      <w:r w:rsidR="0021695D" w:rsidRPr="00605672">
        <w:t>+</w:t>
      </w:r>
      <w:r w:rsidR="0021695D" w:rsidRPr="00605672">
        <w:rPr>
          <w:rFonts w:hint="eastAsia"/>
        </w:rPr>
        <w:t xml:space="preserve"> </w:t>
      </w:r>
      <w:r w:rsidR="0021695D" w:rsidRPr="00605672">
        <w:rPr>
          <w:rFonts w:hint="eastAsia"/>
        </w:rPr>
        <w:t>β</w:t>
      </w:r>
      <w:r w:rsidR="0021695D" w:rsidRPr="00605672">
        <w:rPr>
          <w:vertAlign w:val="subscript"/>
        </w:rPr>
        <w:t>1</w:t>
      </w:r>
      <w:r w:rsidR="00A32C91" w:rsidRPr="00605672">
        <w:rPr>
          <w:vertAlign w:val="subscript"/>
        </w:rPr>
        <w:t>3</w:t>
      </w:r>
      <w:r w:rsidR="000C5787" w:rsidRPr="00605672">
        <w:t>Concentration of sales</w:t>
      </w:r>
      <w:r w:rsidR="00E06490">
        <w:t xml:space="preserve"> + </w:t>
      </w:r>
      <w:r w:rsidR="0021695D" w:rsidRPr="00605672">
        <w:rPr>
          <w:rFonts w:hint="eastAsia"/>
        </w:rPr>
        <w:t>β</w:t>
      </w:r>
      <w:r w:rsidR="0021695D" w:rsidRPr="00605672">
        <w:rPr>
          <w:vertAlign w:val="subscript"/>
        </w:rPr>
        <w:t>1</w:t>
      </w:r>
      <w:r w:rsidR="00A32C91" w:rsidRPr="00605672">
        <w:rPr>
          <w:vertAlign w:val="subscript"/>
        </w:rPr>
        <w:t>4</w:t>
      </w:r>
      <w:r w:rsidR="000C5787" w:rsidRPr="00605672">
        <w:t>Supplier replaceability</w:t>
      </w:r>
      <w:r w:rsidR="00E06490">
        <w:t xml:space="preserve"> </w:t>
      </w:r>
      <w:r w:rsidR="000C5787" w:rsidRPr="00605672">
        <w:t>+</w:t>
      </w:r>
      <w:r w:rsidR="0021695D" w:rsidRPr="00605672">
        <w:rPr>
          <w:rFonts w:hint="eastAsia"/>
        </w:rPr>
        <w:t xml:space="preserve"> </w:t>
      </w:r>
      <w:r w:rsidR="0021695D" w:rsidRPr="00605672">
        <w:rPr>
          <w:rFonts w:hint="eastAsia"/>
        </w:rPr>
        <w:t>β</w:t>
      </w:r>
      <w:r w:rsidR="0021695D" w:rsidRPr="00605672">
        <w:rPr>
          <w:vertAlign w:val="subscript"/>
        </w:rPr>
        <w:t>1</w:t>
      </w:r>
      <w:r w:rsidR="00A32C91" w:rsidRPr="00605672">
        <w:rPr>
          <w:vertAlign w:val="subscript"/>
        </w:rPr>
        <w:t>5</w:t>
      </w:r>
      <w:r w:rsidR="000C5787" w:rsidRPr="00605672">
        <w:t>Order unpredictability</w:t>
      </w:r>
      <w:r w:rsidR="00E06490">
        <w:t xml:space="preserve"> </w:t>
      </w:r>
      <w:r w:rsidR="000C5787" w:rsidRPr="00605672">
        <w:t>+</w:t>
      </w:r>
      <w:r w:rsidR="0021695D" w:rsidRPr="00605672">
        <w:rPr>
          <w:rFonts w:hint="eastAsia"/>
        </w:rPr>
        <w:t xml:space="preserve"> </w:t>
      </w:r>
      <w:r w:rsidR="0021695D" w:rsidRPr="00605672">
        <w:rPr>
          <w:rFonts w:hint="eastAsia"/>
        </w:rPr>
        <w:t>β</w:t>
      </w:r>
      <w:r w:rsidR="0021695D" w:rsidRPr="00605672">
        <w:rPr>
          <w:vertAlign w:val="subscript"/>
        </w:rPr>
        <w:t>1</w:t>
      </w:r>
      <w:r w:rsidR="00A32C91" w:rsidRPr="00605672">
        <w:rPr>
          <w:vertAlign w:val="subscript"/>
        </w:rPr>
        <w:t>6</w:t>
      </w:r>
      <w:r w:rsidR="000C5787" w:rsidRPr="00605672">
        <w:t>RES_</w:t>
      </w:r>
      <w:r w:rsidR="00A32C91" w:rsidRPr="00605672">
        <w:rPr>
          <w:color w:val="000000"/>
        </w:rPr>
        <w:t>SINVT2</w:t>
      </w:r>
      <w:r w:rsidR="00E06490">
        <w:rPr>
          <w:color w:val="000000"/>
        </w:rPr>
        <w:t xml:space="preserve"> </w:t>
      </w:r>
      <w:r w:rsidR="000C5787" w:rsidRPr="00605672">
        <w:t>+</w:t>
      </w:r>
      <w:r w:rsidR="00A32C91" w:rsidRPr="00605672">
        <w:rPr>
          <w:rFonts w:hint="eastAsia"/>
        </w:rPr>
        <w:t xml:space="preserve"> </w:t>
      </w:r>
      <w:r w:rsidR="00A32C91" w:rsidRPr="00605672">
        <w:rPr>
          <w:rFonts w:hint="eastAsia"/>
        </w:rPr>
        <w:t>β</w:t>
      </w:r>
      <w:r w:rsidR="00A32C91" w:rsidRPr="00605672">
        <w:rPr>
          <w:vertAlign w:val="subscript"/>
        </w:rPr>
        <w:t>17</w:t>
      </w:r>
      <w:r w:rsidR="00A32C91" w:rsidRPr="00605672">
        <w:t>RES_</w:t>
      </w:r>
      <w:r w:rsidR="00A32C91" w:rsidRPr="00605672">
        <w:rPr>
          <w:color w:val="000000"/>
        </w:rPr>
        <w:t>SINVT2</w:t>
      </w:r>
      <w:r w:rsidR="0021695D" w:rsidRPr="00605672">
        <w:rPr>
          <w:rFonts w:hint="eastAsia"/>
        </w:rPr>
        <w:t xml:space="preserve"> </w:t>
      </w:r>
      <w:r w:rsidR="0021695D" w:rsidRPr="00605672">
        <w:t>+</w:t>
      </w:r>
      <w:r w:rsidR="00E06490">
        <w:t xml:space="preserve"> </w:t>
      </w:r>
      <w:r w:rsidR="0021695D" w:rsidRPr="00605672">
        <w:t>error</w:t>
      </w:r>
      <w:r w:rsidR="00494D3B" w:rsidRPr="00605672">
        <w:t>.</w:t>
      </w:r>
    </w:p>
    <w:p w14:paraId="041DC1CA" w14:textId="07FD9900" w:rsidR="00D1515B" w:rsidRPr="00605672" w:rsidRDefault="00D1515B" w:rsidP="00D1515B">
      <w:pPr>
        <w:spacing w:line="480" w:lineRule="auto"/>
      </w:pPr>
      <w:r w:rsidRPr="00605672">
        <w:t>(2)</w:t>
      </w:r>
      <w:r w:rsidRPr="00605672">
        <w:tab/>
      </w:r>
      <w:r w:rsidR="0021695D" w:rsidRPr="00605672">
        <w:rPr>
          <w:color w:val="000000"/>
        </w:rPr>
        <w:t>SINVT2</w:t>
      </w:r>
      <w:r w:rsidR="00E06490">
        <w:rPr>
          <w:color w:val="000000"/>
        </w:rPr>
        <w:t xml:space="preserve"> </w:t>
      </w:r>
      <w:r w:rsidRPr="00605672">
        <w:t xml:space="preserve">= </w:t>
      </w:r>
      <w:r w:rsidR="00A32C91" w:rsidRPr="00605672">
        <w:rPr>
          <w:rFonts w:hint="eastAsia"/>
        </w:rPr>
        <w:t>β</w:t>
      </w:r>
      <w:r w:rsidR="00A32C91" w:rsidRPr="00605672">
        <w:rPr>
          <w:vertAlign w:val="subscript"/>
        </w:rPr>
        <w:t>1</w:t>
      </w:r>
      <w:r w:rsidR="00E06490">
        <w:t xml:space="preserve"> </w:t>
      </w:r>
      <w:r w:rsidR="00A32C91" w:rsidRPr="00605672">
        <w:t>+</w:t>
      </w:r>
      <w:r w:rsidR="00E06490">
        <w:t xml:space="preserve"> </w:t>
      </w:r>
      <w:r w:rsidR="00A32C91" w:rsidRPr="00605672">
        <w:rPr>
          <w:rFonts w:hint="eastAsia"/>
        </w:rPr>
        <w:t>β</w:t>
      </w:r>
      <w:r w:rsidR="00A32C91" w:rsidRPr="00605672">
        <w:rPr>
          <w:vertAlign w:val="subscript"/>
        </w:rPr>
        <w:t>2</w:t>
      </w:r>
      <w:r w:rsidR="00A32C91" w:rsidRPr="00605672">
        <w:rPr>
          <w:color w:val="000000"/>
        </w:rPr>
        <w:t>SINVT1</w:t>
      </w:r>
      <w:r w:rsidR="00A32C91" w:rsidRPr="00605672">
        <w:rPr>
          <w:color w:val="000000"/>
          <w:vertAlign w:val="subscript"/>
        </w:rPr>
        <w:t>i</w:t>
      </w:r>
      <w:r w:rsidR="00E06490">
        <w:rPr>
          <w:color w:val="000000"/>
        </w:rPr>
        <w:t xml:space="preserve"> </w:t>
      </w:r>
      <w:r w:rsidR="00A32C91" w:rsidRPr="00605672">
        <w:t>+</w:t>
      </w:r>
      <w:r w:rsidR="00A32C91" w:rsidRPr="00605672">
        <w:rPr>
          <w:rFonts w:hint="eastAsia"/>
        </w:rPr>
        <w:t xml:space="preserve"> </w:t>
      </w:r>
      <w:r w:rsidR="00A32C91" w:rsidRPr="00605672">
        <w:rPr>
          <w:rFonts w:hint="eastAsia"/>
        </w:rPr>
        <w:t>β</w:t>
      </w:r>
      <w:r w:rsidR="00A32C91" w:rsidRPr="00605672">
        <w:rPr>
          <w:vertAlign w:val="subscript"/>
        </w:rPr>
        <w:t>3</w:t>
      </w:r>
      <w:r w:rsidR="00A32C91" w:rsidRPr="00605672">
        <w:rPr>
          <w:color w:val="000000"/>
        </w:rPr>
        <w:t>INVDIFF</w:t>
      </w:r>
      <w:r w:rsidR="00E06490">
        <w:rPr>
          <w:color w:val="000000"/>
          <w:vertAlign w:val="subscript"/>
        </w:rPr>
        <w:t>i</w:t>
      </w:r>
      <w:r w:rsidR="00E06490">
        <w:rPr>
          <w:color w:val="000000"/>
        </w:rPr>
        <w:t xml:space="preserve"> </w:t>
      </w:r>
      <w:r w:rsidR="00A32C91" w:rsidRPr="00605672">
        <w:rPr>
          <w:color w:val="000000"/>
        </w:rPr>
        <w:t>+</w:t>
      </w:r>
      <w:r w:rsidR="00A32C91" w:rsidRPr="00605672">
        <w:rPr>
          <w:rFonts w:hint="eastAsia"/>
        </w:rPr>
        <w:t xml:space="preserve"> </w:t>
      </w:r>
      <w:r w:rsidR="00A32C91" w:rsidRPr="00605672">
        <w:rPr>
          <w:rFonts w:hint="eastAsia"/>
        </w:rPr>
        <w:t>β</w:t>
      </w:r>
      <w:r w:rsidR="00A32C91" w:rsidRPr="00605672">
        <w:rPr>
          <w:vertAlign w:val="subscript"/>
        </w:rPr>
        <w:t>4</w:t>
      </w:r>
      <w:r w:rsidR="003B7993" w:rsidRPr="00605672">
        <w:rPr>
          <w:color w:val="000000"/>
        </w:rPr>
        <w:t>SSEL</w:t>
      </w:r>
      <w:r w:rsidR="00A32C91" w:rsidRPr="00605672">
        <w:rPr>
          <w:color w:val="000000"/>
        </w:rPr>
        <w:t>T1</w:t>
      </w:r>
      <w:r w:rsidR="00A32C91" w:rsidRPr="00605672">
        <w:rPr>
          <w:vertAlign w:val="subscript"/>
        </w:rPr>
        <w:t>i</w:t>
      </w:r>
      <w:r w:rsidR="00E06490">
        <w:t xml:space="preserve"> </w:t>
      </w:r>
      <w:r w:rsidR="00A32C91" w:rsidRPr="00605672">
        <w:t>+</w:t>
      </w:r>
      <w:r w:rsidR="00A32C91" w:rsidRPr="00605672">
        <w:rPr>
          <w:rFonts w:hint="eastAsia"/>
        </w:rPr>
        <w:t>β</w:t>
      </w:r>
      <w:r w:rsidR="00A32C91" w:rsidRPr="00605672">
        <w:rPr>
          <w:vertAlign w:val="subscript"/>
        </w:rPr>
        <w:t>5</w:t>
      </w:r>
      <w:r w:rsidR="003B7993" w:rsidRPr="00605672">
        <w:t>RSEL</w:t>
      </w:r>
      <w:r w:rsidR="00A32C91" w:rsidRPr="00605672">
        <w:t>T1</w:t>
      </w:r>
      <w:r w:rsidR="00A32C91" w:rsidRPr="00605672">
        <w:rPr>
          <w:vertAlign w:val="subscript"/>
        </w:rPr>
        <w:t>i</w:t>
      </w:r>
      <w:r w:rsidR="00E06490">
        <w:t xml:space="preserve"> </w:t>
      </w:r>
      <w:r w:rsidR="00A32C91" w:rsidRPr="00605672">
        <w:t>+</w:t>
      </w:r>
      <w:r w:rsidR="00A32C91" w:rsidRPr="00605672">
        <w:rPr>
          <w:rFonts w:hint="eastAsia"/>
        </w:rPr>
        <w:t xml:space="preserve"> </w:t>
      </w:r>
      <w:r w:rsidR="00A32C91" w:rsidRPr="00605672">
        <w:rPr>
          <w:rFonts w:hint="eastAsia"/>
        </w:rPr>
        <w:t>β</w:t>
      </w:r>
      <w:r w:rsidR="00A32C91" w:rsidRPr="00605672">
        <w:rPr>
          <w:vertAlign w:val="subscript"/>
        </w:rPr>
        <w:t>6</w:t>
      </w:r>
      <w:r w:rsidR="00A32C91" w:rsidRPr="00605672">
        <w:t>Type of agreement</w:t>
      </w:r>
      <w:r w:rsidR="00E06490">
        <w:t xml:space="preserve"> </w:t>
      </w:r>
      <w:r w:rsidR="00A32C91" w:rsidRPr="00605672">
        <w:t>+</w:t>
      </w:r>
      <w:r w:rsidR="00A32C91" w:rsidRPr="00605672">
        <w:rPr>
          <w:rFonts w:hint="eastAsia"/>
        </w:rPr>
        <w:t xml:space="preserve"> </w:t>
      </w:r>
      <w:r w:rsidR="00A32C91" w:rsidRPr="00605672">
        <w:rPr>
          <w:rFonts w:hint="eastAsia"/>
        </w:rPr>
        <w:t>β</w:t>
      </w:r>
      <w:r w:rsidR="00A32C91" w:rsidRPr="00605672">
        <w:rPr>
          <w:vertAlign w:val="subscript"/>
        </w:rPr>
        <w:t xml:space="preserve">7 </w:t>
      </w:r>
      <w:r w:rsidR="00A32C91" w:rsidRPr="00605672">
        <w:t>Concentration of sales</w:t>
      </w:r>
      <w:r w:rsidR="00E06490">
        <w:t xml:space="preserve"> + </w:t>
      </w:r>
      <w:r w:rsidR="00A32C91" w:rsidRPr="00605672">
        <w:rPr>
          <w:rFonts w:hint="eastAsia"/>
        </w:rPr>
        <w:t>β</w:t>
      </w:r>
      <w:r w:rsidR="00A32C91" w:rsidRPr="00605672">
        <w:rPr>
          <w:vertAlign w:val="subscript"/>
        </w:rPr>
        <w:t>8</w:t>
      </w:r>
      <w:r w:rsidR="00A32C91" w:rsidRPr="00605672">
        <w:t>Supplier replaceability</w:t>
      </w:r>
      <w:r w:rsidR="00E06490">
        <w:t xml:space="preserve"> </w:t>
      </w:r>
      <w:r w:rsidR="00A32C91" w:rsidRPr="00605672">
        <w:t>+</w:t>
      </w:r>
      <w:r w:rsidR="00A32C91" w:rsidRPr="00605672">
        <w:rPr>
          <w:rFonts w:hint="eastAsia"/>
        </w:rPr>
        <w:t xml:space="preserve"> </w:t>
      </w:r>
      <w:r w:rsidR="00A32C91" w:rsidRPr="00605672">
        <w:rPr>
          <w:rFonts w:hint="eastAsia"/>
        </w:rPr>
        <w:t>β</w:t>
      </w:r>
      <w:r w:rsidR="00A32C91" w:rsidRPr="00605672">
        <w:rPr>
          <w:vertAlign w:val="subscript"/>
        </w:rPr>
        <w:t>9</w:t>
      </w:r>
      <w:r w:rsidR="00A32C91" w:rsidRPr="00605672">
        <w:t>Order unpredictability</w:t>
      </w:r>
      <w:r w:rsidR="00E06490">
        <w:t xml:space="preserve"> </w:t>
      </w:r>
      <w:r w:rsidR="00A32C91" w:rsidRPr="00605672">
        <w:t>+</w:t>
      </w:r>
      <w:r w:rsidR="00A32C91" w:rsidRPr="00605672">
        <w:rPr>
          <w:rFonts w:hint="eastAsia"/>
        </w:rPr>
        <w:t xml:space="preserve"> </w:t>
      </w:r>
      <w:r w:rsidR="00A32C91" w:rsidRPr="00605672">
        <w:rPr>
          <w:rFonts w:hint="eastAsia"/>
        </w:rPr>
        <w:t>β</w:t>
      </w:r>
      <w:r w:rsidR="00A32C91" w:rsidRPr="00605672">
        <w:rPr>
          <w:vertAlign w:val="subscript"/>
        </w:rPr>
        <w:t>10</w:t>
      </w:r>
      <w:r w:rsidR="00A32C91" w:rsidRPr="00605672">
        <w:t>Demand unpredictability</w:t>
      </w:r>
      <w:r w:rsidR="00E06490">
        <w:t xml:space="preserve"> </w:t>
      </w:r>
      <w:r w:rsidR="00A32C91" w:rsidRPr="00605672">
        <w:t>+</w:t>
      </w:r>
      <w:r w:rsidR="00A32C91" w:rsidRPr="00605672">
        <w:rPr>
          <w:rFonts w:hint="eastAsia"/>
        </w:rPr>
        <w:t xml:space="preserve"> </w:t>
      </w:r>
      <w:r w:rsidR="00A32C91" w:rsidRPr="00605672">
        <w:rPr>
          <w:rFonts w:hint="eastAsia"/>
        </w:rPr>
        <w:t>β</w:t>
      </w:r>
      <w:r w:rsidR="00A32C91" w:rsidRPr="00605672">
        <w:rPr>
          <w:vertAlign w:val="subscript"/>
        </w:rPr>
        <w:t>11</w:t>
      </w:r>
      <w:r w:rsidR="00A32C91" w:rsidRPr="00605672">
        <w:t xml:space="preserve">Supplier </w:t>
      </w:r>
      <w:r w:rsidR="00E06490">
        <w:t>c</w:t>
      </w:r>
      <w:r w:rsidR="00A32C91" w:rsidRPr="00605672">
        <w:t>ompetition</w:t>
      </w:r>
      <w:r w:rsidR="00E06490">
        <w:t xml:space="preserve"> </w:t>
      </w:r>
      <w:r w:rsidR="00A32C91" w:rsidRPr="00605672">
        <w:t>+</w:t>
      </w:r>
      <w:r w:rsidR="00A32C91" w:rsidRPr="00605672">
        <w:rPr>
          <w:rFonts w:hint="eastAsia"/>
        </w:rPr>
        <w:t xml:space="preserve"> </w:t>
      </w:r>
      <w:r w:rsidR="00A32C91" w:rsidRPr="00605672">
        <w:rPr>
          <w:rFonts w:hint="eastAsia"/>
        </w:rPr>
        <w:t>β</w:t>
      </w:r>
      <w:r w:rsidR="00A32C91" w:rsidRPr="00605672">
        <w:rPr>
          <w:vertAlign w:val="subscript"/>
        </w:rPr>
        <w:t>12</w:t>
      </w:r>
      <w:r w:rsidR="00A32C91" w:rsidRPr="00605672">
        <w:t xml:space="preserve">Reseller </w:t>
      </w:r>
      <w:r w:rsidR="00E06490">
        <w:t>c</w:t>
      </w:r>
      <w:r w:rsidR="00A32C91" w:rsidRPr="00605672">
        <w:t>ompetition</w:t>
      </w:r>
      <w:r w:rsidR="00E06490">
        <w:t xml:space="preserve"> </w:t>
      </w:r>
      <w:r w:rsidR="00A32C91" w:rsidRPr="00605672">
        <w:t>+</w:t>
      </w:r>
      <w:r w:rsidR="00A32C91" w:rsidRPr="00605672">
        <w:rPr>
          <w:rFonts w:hint="eastAsia"/>
        </w:rPr>
        <w:t xml:space="preserve"> </w:t>
      </w:r>
      <w:r w:rsidR="00A32C91" w:rsidRPr="00605672">
        <w:rPr>
          <w:rFonts w:hint="eastAsia"/>
        </w:rPr>
        <w:t>β</w:t>
      </w:r>
      <w:r w:rsidR="00A32C91" w:rsidRPr="00605672">
        <w:rPr>
          <w:vertAlign w:val="subscript"/>
        </w:rPr>
        <w:t>13</w:t>
      </w:r>
      <w:r w:rsidR="00A32C91" w:rsidRPr="00605672">
        <w:t>Relative size</w:t>
      </w:r>
      <w:r w:rsidR="00E06490">
        <w:t xml:space="preserve"> </w:t>
      </w:r>
      <w:r w:rsidR="00A32C91" w:rsidRPr="00605672">
        <w:t>+</w:t>
      </w:r>
      <w:r w:rsidR="00A32C91" w:rsidRPr="00605672">
        <w:rPr>
          <w:rFonts w:hint="eastAsia"/>
        </w:rPr>
        <w:t xml:space="preserve"> </w:t>
      </w:r>
      <w:r w:rsidR="00A32C91" w:rsidRPr="00605672">
        <w:rPr>
          <w:rFonts w:hint="eastAsia"/>
        </w:rPr>
        <w:t>β</w:t>
      </w:r>
      <w:r w:rsidR="00A32C91" w:rsidRPr="00605672">
        <w:rPr>
          <w:vertAlign w:val="subscript"/>
        </w:rPr>
        <w:t>14</w:t>
      </w:r>
      <w:r w:rsidR="00A32C91" w:rsidRPr="00605672">
        <w:t>Supplier size</w:t>
      </w:r>
      <w:r w:rsidR="00E06490">
        <w:t xml:space="preserve"> </w:t>
      </w:r>
      <w:r w:rsidR="00A32C91" w:rsidRPr="00605672">
        <w:t>+</w:t>
      </w:r>
      <w:r w:rsidR="00A32C91" w:rsidRPr="00605672">
        <w:rPr>
          <w:rFonts w:hint="eastAsia"/>
        </w:rPr>
        <w:t xml:space="preserve"> </w:t>
      </w:r>
      <w:r w:rsidR="00A32C91" w:rsidRPr="00605672">
        <w:rPr>
          <w:rFonts w:hint="eastAsia"/>
        </w:rPr>
        <w:t>β</w:t>
      </w:r>
      <w:r w:rsidR="00A32C91" w:rsidRPr="00605672">
        <w:rPr>
          <w:vertAlign w:val="subscript"/>
        </w:rPr>
        <w:t>15</w:t>
      </w:r>
      <w:r w:rsidR="00A32C91" w:rsidRPr="00605672">
        <w:t>Demand uncertainty</w:t>
      </w:r>
      <w:r w:rsidR="000E08E5" w:rsidRPr="00605672">
        <w:t xml:space="preserve"> </w:t>
      </w:r>
      <w:r w:rsidR="00A32C91" w:rsidRPr="00605672">
        <w:t>+</w:t>
      </w:r>
      <w:r w:rsidR="00E06490">
        <w:t xml:space="preserve"> </w:t>
      </w:r>
      <w:r w:rsidR="00A32C91" w:rsidRPr="00605672">
        <w:t>error</w:t>
      </w:r>
      <w:r w:rsidR="00494D3B" w:rsidRPr="00605672">
        <w:t>.</w:t>
      </w:r>
    </w:p>
    <w:p w14:paraId="0CF4C4C7" w14:textId="4314C4A0" w:rsidR="00D1515B" w:rsidRPr="00605672" w:rsidRDefault="00D1515B" w:rsidP="00D1515B">
      <w:pPr>
        <w:spacing w:line="480" w:lineRule="auto"/>
      </w:pPr>
      <w:r w:rsidRPr="00605672">
        <w:t>(3)</w:t>
      </w:r>
      <w:r w:rsidRPr="00605672">
        <w:tab/>
      </w:r>
      <w:r w:rsidR="0021695D" w:rsidRPr="00605672">
        <w:t>RINVT2</w:t>
      </w:r>
      <w:r w:rsidR="00E06490">
        <w:t xml:space="preserve"> </w:t>
      </w:r>
      <w:r w:rsidRPr="00605672">
        <w:t xml:space="preserve">= </w:t>
      </w:r>
      <w:r w:rsidRPr="00605672">
        <w:rPr>
          <w:rFonts w:hint="eastAsia"/>
        </w:rPr>
        <w:t>β</w:t>
      </w:r>
      <w:r w:rsidR="00A32C91" w:rsidRPr="00605672">
        <w:rPr>
          <w:vertAlign w:val="subscript"/>
        </w:rPr>
        <w:t>1</w:t>
      </w:r>
      <w:r w:rsidR="00E06490">
        <w:t xml:space="preserve"> </w:t>
      </w:r>
      <w:r w:rsidR="000C5787" w:rsidRPr="00605672">
        <w:t>+</w:t>
      </w:r>
      <w:r w:rsidR="00E06490">
        <w:t xml:space="preserve"> </w:t>
      </w:r>
      <w:r w:rsidR="00A32C91" w:rsidRPr="00605672">
        <w:rPr>
          <w:rFonts w:hint="eastAsia"/>
        </w:rPr>
        <w:t>β</w:t>
      </w:r>
      <w:r w:rsidR="000C5787" w:rsidRPr="00605672">
        <w:rPr>
          <w:vertAlign w:val="subscript"/>
        </w:rPr>
        <w:t>2</w:t>
      </w:r>
      <w:r w:rsidR="00A32C91" w:rsidRPr="00605672">
        <w:rPr>
          <w:color w:val="000000"/>
        </w:rPr>
        <w:t>SINVT1</w:t>
      </w:r>
      <w:r w:rsidR="00A32C91" w:rsidRPr="00605672">
        <w:rPr>
          <w:color w:val="000000"/>
          <w:vertAlign w:val="subscript"/>
        </w:rPr>
        <w:t>i</w:t>
      </w:r>
      <w:r w:rsidR="00E06490">
        <w:rPr>
          <w:color w:val="000000"/>
        </w:rPr>
        <w:t xml:space="preserve"> </w:t>
      </w:r>
      <w:r w:rsidR="00A32C91" w:rsidRPr="00605672">
        <w:t>+</w:t>
      </w:r>
      <w:r w:rsidR="00A32C91" w:rsidRPr="00605672">
        <w:rPr>
          <w:rFonts w:hint="eastAsia"/>
        </w:rPr>
        <w:t xml:space="preserve"> </w:t>
      </w:r>
      <w:r w:rsidR="00A32C91" w:rsidRPr="00605672">
        <w:rPr>
          <w:rFonts w:hint="eastAsia"/>
        </w:rPr>
        <w:t>β</w:t>
      </w:r>
      <w:r w:rsidR="00A32C91" w:rsidRPr="00605672">
        <w:rPr>
          <w:vertAlign w:val="subscript"/>
        </w:rPr>
        <w:t>3</w:t>
      </w:r>
      <w:r w:rsidR="00A32C91" w:rsidRPr="00605672">
        <w:rPr>
          <w:color w:val="000000"/>
        </w:rPr>
        <w:t>INVDIFF</w:t>
      </w:r>
      <w:r w:rsidR="00E06490">
        <w:rPr>
          <w:color w:val="000000"/>
          <w:vertAlign w:val="subscript"/>
        </w:rPr>
        <w:t>i</w:t>
      </w:r>
      <w:r w:rsidR="00E06490">
        <w:rPr>
          <w:color w:val="000000"/>
        </w:rPr>
        <w:t xml:space="preserve"> </w:t>
      </w:r>
      <w:r w:rsidR="00A32C91" w:rsidRPr="00605672">
        <w:rPr>
          <w:color w:val="000000"/>
        </w:rPr>
        <w:t>+</w:t>
      </w:r>
      <w:r w:rsidR="00A32C91" w:rsidRPr="00605672">
        <w:rPr>
          <w:rFonts w:hint="eastAsia"/>
        </w:rPr>
        <w:t xml:space="preserve"> </w:t>
      </w:r>
      <w:r w:rsidR="00A32C91" w:rsidRPr="00605672">
        <w:rPr>
          <w:rFonts w:hint="eastAsia"/>
        </w:rPr>
        <w:t>β</w:t>
      </w:r>
      <w:r w:rsidR="00A32C91" w:rsidRPr="00605672">
        <w:rPr>
          <w:vertAlign w:val="subscript"/>
        </w:rPr>
        <w:t>4</w:t>
      </w:r>
      <w:r w:rsidR="003B7993" w:rsidRPr="00605672">
        <w:rPr>
          <w:color w:val="000000"/>
        </w:rPr>
        <w:t>SSEL</w:t>
      </w:r>
      <w:r w:rsidR="00A32C91" w:rsidRPr="00605672">
        <w:rPr>
          <w:color w:val="000000"/>
        </w:rPr>
        <w:t>T1</w:t>
      </w:r>
      <w:r w:rsidR="00A32C91" w:rsidRPr="00605672">
        <w:rPr>
          <w:vertAlign w:val="subscript"/>
        </w:rPr>
        <w:t>i</w:t>
      </w:r>
      <w:r w:rsidR="00E06490">
        <w:t xml:space="preserve"> </w:t>
      </w:r>
      <w:r w:rsidR="00A32C91" w:rsidRPr="00605672">
        <w:t>+</w:t>
      </w:r>
      <w:r w:rsidR="00A32C91" w:rsidRPr="00605672">
        <w:rPr>
          <w:rFonts w:hint="eastAsia"/>
        </w:rPr>
        <w:t>β</w:t>
      </w:r>
      <w:r w:rsidR="00A32C91" w:rsidRPr="00605672">
        <w:rPr>
          <w:vertAlign w:val="subscript"/>
        </w:rPr>
        <w:t>5</w:t>
      </w:r>
      <w:r w:rsidR="003B7993" w:rsidRPr="00605672">
        <w:t>RSEL</w:t>
      </w:r>
      <w:r w:rsidR="00A32C91" w:rsidRPr="00605672">
        <w:t>T1</w:t>
      </w:r>
      <w:r w:rsidR="00A32C91" w:rsidRPr="00605672">
        <w:rPr>
          <w:vertAlign w:val="subscript"/>
        </w:rPr>
        <w:t>i</w:t>
      </w:r>
      <w:r w:rsidR="00E06490">
        <w:t xml:space="preserve"> </w:t>
      </w:r>
      <w:r w:rsidR="00A32C91" w:rsidRPr="00605672">
        <w:t>+</w:t>
      </w:r>
      <w:r w:rsidR="00A32C91" w:rsidRPr="00605672">
        <w:rPr>
          <w:rFonts w:hint="eastAsia"/>
        </w:rPr>
        <w:t xml:space="preserve"> </w:t>
      </w:r>
      <w:r w:rsidR="00A32C91" w:rsidRPr="00605672">
        <w:rPr>
          <w:rFonts w:hint="eastAsia"/>
        </w:rPr>
        <w:t>β</w:t>
      </w:r>
      <w:r w:rsidR="00A32C91" w:rsidRPr="00605672">
        <w:rPr>
          <w:vertAlign w:val="subscript"/>
        </w:rPr>
        <w:t>6</w:t>
      </w:r>
      <w:r w:rsidR="00A32C91" w:rsidRPr="00605672">
        <w:t>Type of agreement</w:t>
      </w:r>
      <w:r w:rsidR="00E06490">
        <w:t xml:space="preserve"> </w:t>
      </w:r>
      <w:r w:rsidR="00A32C91" w:rsidRPr="00605672">
        <w:t>+</w:t>
      </w:r>
      <w:r w:rsidR="00A32C91" w:rsidRPr="00605672">
        <w:rPr>
          <w:rFonts w:hint="eastAsia"/>
        </w:rPr>
        <w:t xml:space="preserve"> </w:t>
      </w:r>
      <w:r w:rsidR="00A32C91" w:rsidRPr="00605672">
        <w:rPr>
          <w:rFonts w:hint="eastAsia"/>
        </w:rPr>
        <w:t>β</w:t>
      </w:r>
      <w:r w:rsidR="00A32C91" w:rsidRPr="00605672">
        <w:rPr>
          <w:vertAlign w:val="subscript"/>
        </w:rPr>
        <w:t xml:space="preserve">7 </w:t>
      </w:r>
      <w:r w:rsidR="00A32C91" w:rsidRPr="00605672">
        <w:t>Concentration of sales</w:t>
      </w:r>
      <w:r w:rsidR="00E06490">
        <w:t xml:space="preserve"> + </w:t>
      </w:r>
      <w:r w:rsidR="00A32C91" w:rsidRPr="00605672">
        <w:rPr>
          <w:rFonts w:hint="eastAsia"/>
        </w:rPr>
        <w:t>β</w:t>
      </w:r>
      <w:r w:rsidR="00A32C91" w:rsidRPr="00605672">
        <w:rPr>
          <w:vertAlign w:val="subscript"/>
        </w:rPr>
        <w:t>8</w:t>
      </w:r>
      <w:r w:rsidR="00A32C91" w:rsidRPr="00605672">
        <w:t>Supplier replaceability</w:t>
      </w:r>
      <w:r w:rsidR="00E06490">
        <w:t xml:space="preserve"> </w:t>
      </w:r>
      <w:r w:rsidR="00A32C91" w:rsidRPr="00605672">
        <w:t>+</w:t>
      </w:r>
      <w:r w:rsidR="00A32C91" w:rsidRPr="00605672">
        <w:rPr>
          <w:rFonts w:hint="eastAsia"/>
        </w:rPr>
        <w:t xml:space="preserve"> </w:t>
      </w:r>
      <w:r w:rsidR="00A32C91" w:rsidRPr="00605672">
        <w:rPr>
          <w:rFonts w:hint="eastAsia"/>
        </w:rPr>
        <w:t>β</w:t>
      </w:r>
      <w:r w:rsidR="00A32C91" w:rsidRPr="00605672">
        <w:rPr>
          <w:vertAlign w:val="subscript"/>
        </w:rPr>
        <w:t>9</w:t>
      </w:r>
      <w:r w:rsidR="00A32C91" w:rsidRPr="00605672">
        <w:t>Order unpredictability</w:t>
      </w:r>
      <w:r w:rsidR="00E06490">
        <w:t xml:space="preserve"> </w:t>
      </w:r>
      <w:r w:rsidR="00A32C91" w:rsidRPr="00605672">
        <w:t>+</w:t>
      </w:r>
      <w:r w:rsidR="00A32C91" w:rsidRPr="00605672">
        <w:rPr>
          <w:rFonts w:hint="eastAsia"/>
        </w:rPr>
        <w:t xml:space="preserve"> </w:t>
      </w:r>
      <w:r w:rsidR="00A32C91" w:rsidRPr="00605672">
        <w:rPr>
          <w:rFonts w:hint="eastAsia"/>
        </w:rPr>
        <w:t>β</w:t>
      </w:r>
      <w:r w:rsidR="00A32C91" w:rsidRPr="00605672">
        <w:rPr>
          <w:vertAlign w:val="subscript"/>
        </w:rPr>
        <w:t>10</w:t>
      </w:r>
      <w:r w:rsidR="00A32C91" w:rsidRPr="00605672">
        <w:t>Demand unpredictability</w:t>
      </w:r>
      <w:r w:rsidR="00E06490">
        <w:t xml:space="preserve"> </w:t>
      </w:r>
      <w:r w:rsidR="00A32C91" w:rsidRPr="00605672">
        <w:t>+</w:t>
      </w:r>
      <w:r w:rsidR="00A32C91" w:rsidRPr="00605672">
        <w:rPr>
          <w:rFonts w:hint="eastAsia"/>
        </w:rPr>
        <w:t xml:space="preserve"> </w:t>
      </w:r>
      <w:r w:rsidR="00A32C91" w:rsidRPr="00605672">
        <w:rPr>
          <w:rFonts w:hint="eastAsia"/>
        </w:rPr>
        <w:t>β</w:t>
      </w:r>
      <w:r w:rsidR="00A32C91" w:rsidRPr="00605672">
        <w:rPr>
          <w:vertAlign w:val="subscript"/>
        </w:rPr>
        <w:t>11</w:t>
      </w:r>
      <w:r w:rsidR="00A32C91" w:rsidRPr="00605672">
        <w:t xml:space="preserve">Supplier </w:t>
      </w:r>
      <w:r w:rsidR="00E06490">
        <w:t>c</w:t>
      </w:r>
      <w:r w:rsidR="00A32C91" w:rsidRPr="00605672">
        <w:t>ompetition</w:t>
      </w:r>
      <w:r w:rsidR="00E06490">
        <w:t xml:space="preserve"> </w:t>
      </w:r>
      <w:r w:rsidR="00A32C91" w:rsidRPr="00605672">
        <w:t>+</w:t>
      </w:r>
      <w:r w:rsidR="00A32C91" w:rsidRPr="00605672">
        <w:rPr>
          <w:rFonts w:hint="eastAsia"/>
        </w:rPr>
        <w:t xml:space="preserve"> </w:t>
      </w:r>
      <w:r w:rsidR="00A32C91" w:rsidRPr="00605672">
        <w:rPr>
          <w:rFonts w:hint="eastAsia"/>
        </w:rPr>
        <w:t>β</w:t>
      </w:r>
      <w:r w:rsidR="00A32C91" w:rsidRPr="00605672">
        <w:rPr>
          <w:vertAlign w:val="subscript"/>
        </w:rPr>
        <w:t>12</w:t>
      </w:r>
      <w:r w:rsidR="00A32C91" w:rsidRPr="00605672">
        <w:t xml:space="preserve">Reseller </w:t>
      </w:r>
      <w:r w:rsidR="00E06490">
        <w:t>c</w:t>
      </w:r>
      <w:r w:rsidR="00A32C91" w:rsidRPr="00605672">
        <w:t>ompetition</w:t>
      </w:r>
      <w:r w:rsidR="00E06490">
        <w:t xml:space="preserve"> </w:t>
      </w:r>
      <w:r w:rsidR="00A32C91" w:rsidRPr="00605672">
        <w:t>+</w:t>
      </w:r>
      <w:r w:rsidR="00A32C91" w:rsidRPr="00605672">
        <w:rPr>
          <w:rFonts w:hint="eastAsia"/>
        </w:rPr>
        <w:t xml:space="preserve"> </w:t>
      </w:r>
      <w:r w:rsidR="00A32C91" w:rsidRPr="00605672">
        <w:rPr>
          <w:rFonts w:hint="eastAsia"/>
        </w:rPr>
        <w:t>β</w:t>
      </w:r>
      <w:r w:rsidR="00A32C91" w:rsidRPr="00605672">
        <w:rPr>
          <w:vertAlign w:val="subscript"/>
        </w:rPr>
        <w:t>13</w:t>
      </w:r>
      <w:r w:rsidR="00A32C91" w:rsidRPr="00605672">
        <w:t>Relative size</w:t>
      </w:r>
      <w:r w:rsidR="00E06490">
        <w:t xml:space="preserve"> </w:t>
      </w:r>
      <w:r w:rsidR="00A32C91" w:rsidRPr="00605672">
        <w:t>+</w:t>
      </w:r>
      <w:r w:rsidR="00A32C91" w:rsidRPr="00605672">
        <w:rPr>
          <w:rFonts w:hint="eastAsia"/>
        </w:rPr>
        <w:t xml:space="preserve"> </w:t>
      </w:r>
      <w:r w:rsidR="00A32C91" w:rsidRPr="00605672">
        <w:rPr>
          <w:rFonts w:hint="eastAsia"/>
        </w:rPr>
        <w:t>β</w:t>
      </w:r>
      <w:r w:rsidR="00A32C91" w:rsidRPr="00605672">
        <w:rPr>
          <w:vertAlign w:val="subscript"/>
        </w:rPr>
        <w:t>14</w:t>
      </w:r>
      <w:r w:rsidR="00A32C91" w:rsidRPr="00605672">
        <w:t>Supplier size</w:t>
      </w:r>
      <w:r w:rsidR="00E06490">
        <w:t xml:space="preserve"> </w:t>
      </w:r>
      <w:r w:rsidR="00A32C91" w:rsidRPr="00605672">
        <w:t>+</w:t>
      </w:r>
      <w:r w:rsidR="00A32C91" w:rsidRPr="00605672">
        <w:rPr>
          <w:rFonts w:hint="eastAsia"/>
        </w:rPr>
        <w:t xml:space="preserve"> </w:t>
      </w:r>
      <w:r w:rsidR="00A32C91" w:rsidRPr="00605672">
        <w:rPr>
          <w:rFonts w:hint="eastAsia"/>
        </w:rPr>
        <w:t>β</w:t>
      </w:r>
      <w:r w:rsidR="00A32C91" w:rsidRPr="00605672">
        <w:rPr>
          <w:vertAlign w:val="subscript"/>
        </w:rPr>
        <w:t>15</w:t>
      </w:r>
      <w:r w:rsidR="00A32C91" w:rsidRPr="00605672">
        <w:t>Demand uncertainty</w:t>
      </w:r>
      <w:r w:rsidR="000E08E5" w:rsidRPr="00605672">
        <w:t xml:space="preserve"> </w:t>
      </w:r>
      <w:r w:rsidR="00A32C91" w:rsidRPr="00605672">
        <w:t>+</w:t>
      </w:r>
      <w:r w:rsidR="00E06490">
        <w:t xml:space="preserve"> </w:t>
      </w:r>
      <w:r w:rsidR="00A32C91" w:rsidRPr="00605672">
        <w:t>error</w:t>
      </w:r>
      <w:r w:rsidR="00494D3B" w:rsidRPr="00605672">
        <w:t>.</w:t>
      </w:r>
    </w:p>
    <w:p w14:paraId="252DBFB1" w14:textId="77777777" w:rsidR="004A1B6C" w:rsidRDefault="000B07AA" w:rsidP="00727D37">
      <w:pPr>
        <w:spacing w:before="240" w:line="480" w:lineRule="auto"/>
        <w:jc w:val="center"/>
        <w:rPr>
          <w:rFonts w:eastAsia="Times New Roman"/>
          <w:i/>
        </w:rPr>
      </w:pPr>
      <w:r w:rsidRPr="00605672">
        <w:rPr>
          <w:rFonts w:eastAsia="Times New Roman"/>
          <w:i/>
        </w:rPr>
        <w:t>RESULTS</w:t>
      </w:r>
    </w:p>
    <w:p w14:paraId="671FA205" w14:textId="2EEFD96E" w:rsidR="00FB3B98" w:rsidRPr="00605672" w:rsidRDefault="00FB3B98" w:rsidP="0048192E">
      <w:pPr>
        <w:pStyle w:val="Bodytext"/>
        <w:jc w:val="left"/>
        <w:rPr>
          <w:color w:val="000000"/>
          <w:lang w:eastAsia="en-GB"/>
        </w:rPr>
      </w:pPr>
      <w:r w:rsidRPr="00605672">
        <w:rPr>
          <w:szCs w:val="24"/>
        </w:rPr>
        <w:t xml:space="preserve">Table </w:t>
      </w:r>
      <w:r w:rsidR="00CC5859" w:rsidRPr="00605672">
        <w:rPr>
          <w:szCs w:val="24"/>
        </w:rPr>
        <w:t xml:space="preserve">2 </w:t>
      </w:r>
      <w:r w:rsidRPr="00605672">
        <w:rPr>
          <w:szCs w:val="24"/>
        </w:rPr>
        <w:t>display</w:t>
      </w:r>
      <w:r w:rsidR="00822B04" w:rsidRPr="00605672">
        <w:rPr>
          <w:szCs w:val="24"/>
        </w:rPr>
        <w:t>s</w:t>
      </w:r>
      <w:r w:rsidRPr="00605672">
        <w:rPr>
          <w:szCs w:val="24"/>
        </w:rPr>
        <w:t xml:space="preserve"> the estimates and </w:t>
      </w:r>
      <w:r w:rsidR="008431B0" w:rsidRPr="00605672">
        <w:rPr>
          <w:szCs w:val="24"/>
        </w:rPr>
        <w:t>robu</w:t>
      </w:r>
      <w:r w:rsidR="008468F1" w:rsidRPr="00605672">
        <w:rPr>
          <w:szCs w:val="24"/>
        </w:rPr>
        <w:t xml:space="preserve">st </w:t>
      </w:r>
      <w:r w:rsidRPr="00605672">
        <w:rPr>
          <w:szCs w:val="24"/>
        </w:rPr>
        <w:t xml:space="preserve">standard errors obtained from the </w:t>
      </w:r>
      <w:r w:rsidR="008468F1" w:rsidRPr="00605672">
        <w:rPr>
          <w:szCs w:val="24"/>
        </w:rPr>
        <w:t>SUEST estimation</w:t>
      </w:r>
      <w:r w:rsidRPr="00605672">
        <w:rPr>
          <w:szCs w:val="24"/>
        </w:rPr>
        <w:t>.</w:t>
      </w:r>
      <w:r w:rsidR="00DC349A" w:rsidRPr="00605672">
        <w:rPr>
          <w:szCs w:val="24"/>
        </w:rPr>
        <w:t xml:space="preserve"> </w:t>
      </w:r>
      <w:r w:rsidR="00BF3FEC" w:rsidRPr="00605672">
        <w:rPr>
          <w:szCs w:val="24"/>
        </w:rPr>
        <w:t xml:space="preserve">First, </w:t>
      </w:r>
      <w:r w:rsidR="00475D50" w:rsidRPr="00605672">
        <w:rPr>
          <w:color w:val="000000"/>
          <w:lang w:eastAsia="en-GB"/>
        </w:rPr>
        <w:t>the residuals (</w:t>
      </w:r>
      <w:r w:rsidR="00736373" w:rsidRPr="00605672">
        <w:rPr>
          <w:color w:val="000000"/>
          <w:lang w:eastAsia="en-GB"/>
        </w:rPr>
        <w:t>RES_SINVT2</w:t>
      </w:r>
      <w:r w:rsidR="00475D50" w:rsidRPr="00605672">
        <w:rPr>
          <w:color w:val="000000"/>
          <w:lang w:eastAsia="en-GB"/>
        </w:rPr>
        <w:t xml:space="preserve"> and </w:t>
      </w:r>
      <w:r w:rsidR="00736373" w:rsidRPr="00605672">
        <w:rPr>
          <w:color w:val="000000"/>
          <w:lang w:eastAsia="en-GB"/>
        </w:rPr>
        <w:t>RES_RINVT2</w:t>
      </w:r>
      <w:r w:rsidR="00475D50" w:rsidRPr="00605672">
        <w:rPr>
          <w:color w:val="000000"/>
          <w:lang w:eastAsia="en-GB"/>
        </w:rPr>
        <w:t>) are non-significant, suggesting that our parameter estimates are not biased</w:t>
      </w:r>
      <w:r w:rsidR="00BF3FEC" w:rsidRPr="00605672">
        <w:rPr>
          <w:color w:val="000000"/>
          <w:lang w:eastAsia="en-GB"/>
        </w:rPr>
        <w:t xml:space="preserve"> (Davidson and MacKinnon 1993)</w:t>
      </w:r>
      <w:r w:rsidR="00475D50" w:rsidRPr="00605672">
        <w:rPr>
          <w:color w:val="000000"/>
          <w:lang w:eastAsia="en-GB"/>
        </w:rPr>
        <w:t>.</w:t>
      </w:r>
      <w:r w:rsidRPr="00605672">
        <w:rPr>
          <w:szCs w:val="24"/>
        </w:rPr>
        <w:t xml:space="preserve"> Turning to the hypotheses, </w:t>
      </w:r>
      <w:r w:rsidR="00423F62" w:rsidRPr="00605672">
        <w:rPr>
          <w:szCs w:val="24"/>
        </w:rPr>
        <w:t xml:space="preserve">a supplier’s </w:t>
      </w:r>
      <w:r w:rsidR="000B2621" w:rsidRPr="00605672">
        <w:rPr>
          <w:szCs w:val="24"/>
        </w:rPr>
        <w:t xml:space="preserve">reseller </w:t>
      </w:r>
      <w:r w:rsidR="0089722F" w:rsidRPr="00605672">
        <w:rPr>
          <w:szCs w:val="24"/>
        </w:rPr>
        <w:t>selection</w:t>
      </w:r>
      <w:r w:rsidR="00D615C2" w:rsidRPr="00605672">
        <w:rPr>
          <w:szCs w:val="24"/>
        </w:rPr>
        <w:t xml:space="preserve"> </w:t>
      </w:r>
      <w:r w:rsidR="00FC4E54" w:rsidRPr="00605672">
        <w:rPr>
          <w:szCs w:val="24"/>
        </w:rPr>
        <w:t xml:space="preserve">efforts </w:t>
      </w:r>
      <w:r w:rsidR="00CA1911" w:rsidRPr="00605672">
        <w:rPr>
          <w:szCs w:val="24"/>
        </w:rPr>
        <w:t>(</w:t>
      </w:r>
      <w:r w:rsidR="00BF3FEC" w:rsidRPr="00605672">
        <w:rPr>
          <w:szCs w:val="24"/>
        </w:rPr>
        <w:t xml:space="preserve">reported at </w:t>
      </w:r>
      <w:r w:rsidR="00D615C2" w:rsidRPr="00605672">
        <w:rPr>
          <w:szCs w:val="24"/>
        </w:rPr>
        <w:t>time 1</w:t>
      </w:r>
      <w:r w:rsidR="00CA1911" w:rsidRPr="00605672">
        <w:rPr>
          <w:szCs w:val="24"/>
        </w:rPr>
        <w:t>)</w:t>
      </w:r>
      <w:r w:rsidR="000B2621" w:rsidRPr="00605672">
        <w:rPr>
          <w:szCs w:val="24"/>
        </w:rPr>
        <w:t xml:space="preserve"> ha</w:t>
      </w:r>
      <w:r w:rsidR="003313BB" w:rsidRPr="00605672">
        <w:rPr>
          <w:szCs w:val="24"/>
        </w:rPr>
        <w:t>ve</w:t>
      </w:r>
      <w:r w:rsidR="000B2621" w:rsidRPr="00605672">
        <w:rPr>
          <w:szCs w:val="24"/>
        </w:rPr>
        <w:t xml:space="preserve"> </w:t>
      </w:r>
      <w:r w:rsidR="008E0D66" w:rsidRPr="00605672">
        <w:rPr>
          <w:szCs w:val="24"/>
        </w:rPr>
        <w:t xml:space="preserve">a </w:t>
      </w:r>
      <w:r w:rsidR="000B2621" w:rsidRPr="00605672">
        <w:rPr>
          <w:szCs w:val="24"/>
        </w:rPr>
        <w:t xml:space="preserve">significant and positive effect on supplier incremental investments </w:t>
      </w:r>
      <w:r w:rsidR="00CA1911" w:rsidRPr="00605672">
        <w:rPr>
          <w:szCs w:val="24"/>
        </w:rPr>
        <w:t xml:space="preserve">in </w:t>
      </w:r>
      <w:r w:rsidR="000B2621" w:rsidRPr="00605672">
        <w:rPr>
          <w:szCs w:val="24"/>
        </w:rPr>
        <w:t xml:space="preserve">reseller-specific </w:t>
      </w:r>
      <w:r w:rsidR="003313BB" w:rsidRPr="00605672">
        <w:rPr>
          <w:szCs w:val="24"/>
        </w:rPr>
        <w:t>investments</w:t>
      </w:r>
      <w:r w:rsidR="00D615C2" w:rsidRPr="00605672">
        <w:rPr>
          <w:szCs w:val="24"/>
        </w:rPr>
        <w:t xml:space="preserve"> </w:t>
      </w:r>
      <w:r w:rsidR="00CA1911" w:rsidRPr="00605672">
        <w:rPr>
          <w:szCs w:val="24"/>
        </w:rPr>
        <w:t>(</w:t>
      </w:r>
      <w:r w:rsidR="007E6277" w:rsidRPr="00605672">
        <w:rPr>
          <w:szCs w:val="24"/>
        </w:rPr>
        <w:t>time 2</w:t>
      </w:r>
      <w:r w:rsidR="00CA1911" w:rsidRPr="00605672">
        <w:rPr>
          <w:szCs w:val="24"/>
        </w:rPr>
        <w:t>)</w:t>
      </w:r>
      <w:r w:rsidR="004928E2">
        <w:rPr>
          <w:szCs w:val="24"/>
        </w:rPr>
        <w:t xml:space="preserve">, in support of </w:t>
      </w:r>
      <w:r w:rsidR="00D615C2" w:rsidRPr="00605672">
        <w:rPr>
          <w:szCs w:val="24"/>
        </w:rPr>
        <w:t>H</w:t>
      </w:r>
      <w:r w:rsidR="00AA5B5D" w:rsidRPr="00727D37">
        <w:rPr>
          <w:szCs w:val="24"/>
          <w:vertAlign w:val="subscript"/>
        </w:rPr>
        <w:t>1</w:t>
      </w:r>
      <w:r w:rsidR="00D615C2" w:rsidRPr="00605672">
        <w:rPr>
          <w:szCs w:val="24"/>
        </w:rPr>
        <w:t xml:space="preserve"> </w:t>
      </w:r>
      <w:r w:rsidR="004928E2">
        <w:rPr>
          <w:szCs w:val="24"/>
        </w:rPr>
        <w:t>(</w:t>
      </w:r>
      <w:r w:rsidR="00D615C2" w:rsidRPr="00605672">
        <w:rPr>
          <w:szCs w:val="24"/>
        </w:rPr>
        <w:t>β</w:t>
      </w:r>
      <w:r w:rsidR="004928E2">
        <w:rPr>
          <w:szCs w:val="24"/>
        </w:rPr>
        <w:t xml:space="preserve"> </w:t>
      </w:r>
      <w:r w:rsidR="00D615C2" w:rsidRPr="00605672">
        <w:rPr>
          <w:szCs w:val="24"/>
        </w:rPr>
        <w:t xml:space="preserve">= .16, </w:t>
      </w:r>
      <w:r w:rsidR="00AA5B5D" w:rsidRPr="00727D37">
        <w:rPr>
          <w:i/>
          <w:szCs w:val="24"/>
        </w:rPr>
        <w:t>p</w:t>
      </w:r>
      <w:r w:rsidR="00D615C2" w:rsidRPr="00605672">
        <w:rPr>
          <w:szCs w:val="24"/>
        </w:rPr>
        <w:t xml:space="preserve"> &lt;</w:t>
      </w:r>
      <w:r w:rsidR="004928E2">
        <w:rPr>
          <w:szCs w:val="24"/>
        </w:rPr>
        <w:t xml:space="preserve"> </w:t>
      </w:r>
      <w:r w:rsidR="00D615C2" w:rsidRPr="00605672">
        <w:rPr>
          <w:szCs w:val="24"/>
        </w:rPr>
        <w:t>.01)</w:t>
      </w:r>
      <w:r w:rsidR="000B2621" w:rsidRPr="00605672">
        <w:rPr>
          <w:szCs w:val="24"/>
        </w:rPr>
        <w:t xml:space="preserve">. Similarly, </w:t>
      </w:r>
      <w:r w:rsidR="00BF3FEC" w:rsidRPr="00605672">
        <w:rPr>
          <w:szCs w:val="24"/>
        </w:rPr>
        <w:t>great</w:t>
      </w:r>
      <w:r w:rsidR="00FC4E54" w:rsidRPr="00605672">
        <w:rPr>
          <w:szCs w:val="24"/>
        </w:rPr>
        <w:t>er</w:t>
      </w:r>
      <w:r w:rsidR="00BF3FEC" w:rsidRPr="00605672">
        <w:rPr>
          <w:szCs w:val="24"/>
        </w:rPr>
        <w:t xml:space="preserve"> </w:t>
      </w:r>
      <w:r w:rsidR="002B0C73" w:rsidRPr="00605672">
        <w:rPr>
          <w:szCs w:val="24"/>
        </w:rPr>
        <w:t xml:space="preserve">initial </w:t>
      </w:r>
      <w:r w:rsidR="00E77465" w:rsidRPr="00605672">
        <w:rPr>
          <w:szCs w:val="24"/>
        </w:rPr>
        <w:t xml:space="preserve">mutual </w:t>
      </w:r>
      <w:r w:rsidR="00E77465" w:rsidRPr="00605672">
        <w:rPr>
          <w:szCs w:val="24"/>
        </w:rPr>
        <w:lastRenderedPageBreak/>
        <w:t>asymmetric investment</w:t>
      </w:r>
      <w:r w:rsidR="00E87CF4" w:rsidRPr="00605672">
        <w:rPr>
          <w:szCs w:val="24"/>
        </w:rPr>
        <w:t>s</w:t>
      </w:r>
      <w:r w:rsidR="00BF3FEC" w:rsidRPr="00605672">
        <w:rPr>
          <w:szCs w:val="24"/>
        </w:rPr>
        <w:t xml:space="preserve"> in the supplier’s favor</w:t>
      </w:r>
      <w:r w:rsidR="00E77465" w:rsidRPr="00605672">
        <w:rPr>
          <w:szCs w:val="24"/>
        </w:rPr>
        <w:t xml:space="preserve"> </w:t>
      </w:r>
      <w:r w:rsidR="00E337CE" w:rsidRPr="00605672">
        <w:rPr>
          <w:szCs w:val="24"/>
        </w:rPr>
        <w:t>(</w:t>
      </w:r>
      <w:r w:rsidR="000139F7" w:rsidRPr="00605672">
        <w:rPr>
          <w:szCs w:val="24"/>
        </w:rPr>
        <w:t>time 1</w:t>
      </w:r>
      <w:r w:rsidR="00E337CE" w:rsidRPr="00605672">
        <w:rPr>
          <w:szCs w:val="24"/>
        </w:rPr>
        <w:t>)</w:t>
      </w:r>
      <w:r w:rsidR="000139F7" w:rsidRPr="00605672">
        <w:rPr>
          <w:szCs w:val="24"/>
        </w:rPr>
        <w:t xml:space="preserve"> </w:t>
      </w:r>
      <w:r w:rsidR="00E77465" w:rsidRPr="00605672">
        <w:rPr>
          <w:szCs w:val="24"/>
        </w:rPr>
        <w:t>ha</w:t>
      </w:r>
      <w:r w:rsidR="002B0C73" w:rsidRPr="00605672">
        <w:rPr>
          <w:szCs w:val="24"/>
        </w:rPr>
        <w:t>ve</w:t>
      </w:r>
      <w:r w:rsidR="000B2621" w:rsidRPr="00605672">
        <w:rPr>
          <w:szCs w:val="24"/>
        </w:rPr>
        <w:t xml:space="preserve"> a significant and positive effect</w:t>
      </w:r>
      <w:r w:rsidRPr="00605672">
        <w:rPr>
          <w:szCs w:val="24"/>
        </w:rPr>
        <w:t xml:space="preserve"> on supplier </w:t>
      </w:r>
      <w:r w:rsidR="00784E11" w:rsidRPr="00605672">
        <w:rPr>
          <w:szCs w:val="24"/>
        </w:rPr>
        <w:t>incremental</w:t>
      </w:r>
      <w:r w:rsidRPr="00605672">
        <w:rPr>
          <w:szCs w:val="24"/>
        </w:rPr>
        <w:t xml:space="preserve"> </w:t>
      </w:r>
      <w:r w:rsidR="00784E11" w:rsidRPr="00605672">
        <w:rPr>
          <w:szCs w:val="24"/>
        </w:rPr>
        <w:t>investments</w:t>
      </w:r>
      <w:r w:rsidRPr="00605672">
        <w:rPr>
          <w:szCs w:val="24"/>
        </w:rPr>
        <w:t xml:space="preserve"> </w:t>
      </w:r>
      <w:r w:rsidR="002B0CA5" w:rsidRPr="00605672">
        <w:rPr>
          <w:szCs w:val="24"/>
        </w:rPr>
        <w:t>(</w:t>
      </w:r>
      <w:r w:rsidR="000B2621" w:rsidRPr="00605672">
        <w:rPr>
          <w:szCs w:val="24"/>
        </w:rPr>
        <w:t>time 2</w:t>
      </w:r>
      <w:r w:rsidR="002B0CA5" w:rsidRPr="00605672">
        <w:rPr>
          <w:szCs w:val="24"/>
        </w:rPr>
        <w:t>)</w:t>
      </w:r>
      <w:r w:rsidR="004928E2">
        <w:rPr>
          <w:szCs w:val="24"/>
        </w:rPr>
        <w:t xml:space="preserve">, in support of </w:t>
      </w:r>
      <w:r w:rsidR="002604B2" w:rsidRPr="00605672">
        <w:rPr>
          <w:szCs w:val="24"/>
        </w:rPr>
        <w:t>H</w:t>
      </w:r>
      <w:r w:rsidR="00AA5B5D" w:rsidRPr="00727D37">
        <w:rPr>
          <w:szCs w:val="24"/>
          <w:vertAlign w:val="subscript"/>
        </w:rPr>
        <w:t>2</w:t>
      </w:r>
      <w:r w:rsidR="002604B2" w:rsidRPr="00605672">
        <w:rPr>
          <w:szCs w:val="24"/>
        </w:rPr>
        <w:t xml:space="preserve"> </w:t>
      </w:r>
      <w:r w:rsidR="004928E2">
        <w:rPr>
          <w:szCs w:val="24"/>
        </w:rPr>
        <w:t>(</w:t>
      </w:r>
      <w:r w:rsidR="00232F0F" w:rsidRPr="00605672">
        <w:rPr>
          <w:szCs w:val="24"/>
        </w:rPr>
        <w:t>β</w:t>
      </w:r>
      <w:r w:rsidR="004928E2">
        <w:rPr>
          <w:szCs w:val="24"/>
        </w:rPr>
        <w:t xml:space="preserve"> </w:t>
      </w:r>
      <w:r w:rsidR="00232F0F" w:rsidRPr="00605672">
        <w:rPr>
          <w:szCs w:val="24"/>
        </w:rPr>
        <w:t>=</w:t>
      </w:r>
      <w:r w:rsidR="004928E2">
        <w:rPr>
          <w:szCs w:val="24"/>
        </w:rPr>
        <w:t xml:space="preserve"> </w:t>
      </w:r>
      <w:r w:rsidR="00232F0F" w:rsidRPr="00605672">
        <w:rPr>
          <w:szCs w:val="24"/>
        </w:rPr>
        <w:t>.54</w:t>
      </w:r>
      <w:r w:rsidR="000B2621" w:rsidRPr="00605672">
        <w:rPr>
          <w:szCs w:val="24"/>
        </w:rPr>
        <w:t xml:space="preserve">, </w:t>
      </w:r>
      <w:r w:rsidR="00AA5B5D" w:rsidRPr="00727D37">
        <w:rPr>
          <w:i/>
          <w:szCs w:val="24"/>
        </w:rPr>
        <w:t>p</w:t>
      </w:r>
      <w:r w:rsidR="000B2621" w:rsidRPr="00605672">
        <w:rPr>
          <w:szCs w:val="24"/>
        </w:rPr>
        <w:t xml:space="preserve"> &lt;</w:t>
      </w:r>
      <w:r w:rsidR="004928E2">
        <w:rPr>
          <w:szCs w:val="24"/>
        </w:rPr>
        <w:t xml:space="preserve"> </w:t>
      </w:r>
      <w:r w:rsidR="000B2621" w:rsidRPr="00605672">
        <w:rPr>
          <w:szCs w:val="24"/>
        </w:rPr>
        <w:t xml:space="preserve">.01). </w:t>
      </w:r>
      <w:r w:rsidR="004928E2">
        <w:rPr>
          <w:szCs w:val="24"/>
        </w:rPr>
        <w:t xml:space="preserve">Thus </w:t>
      </w:r>
      <w:r w:rsidRPr="00605672">
        <w:rPr>
          <w:szCs w:val="24"/>
        </w:rPr>
        <w:t xml:space="preserve">both </w:t>
      </w:r>
      <w:r w:rsidR="003313BB" w:rsidRPr="00605672">
        <w:rPr>
          <w:szCs w:val="24"/>
        </w:rPr>
        <w:t xml:space="preserve">of the </w:t>
      </w:r>
      <w:r w:rsidR="004C1B9A" w:rsidRPr="00605672">
        <w:rPr>
          <w:szCs w:val="24"/>
        </w:rPr>
        <w:t xml:space="preserve">preexisting </w:t>
      </w:r>
      <w:r w:rsidRPr="00605672">
        <w:rPr>
          <w:szCs w:val="24"/>
        </w:rPr>
        <w:t xml:space="preserve">governance </w:t>
      </w:r>
      <w:r w:rsidR="00D2752D" w:rsidRPr="00605672">
        <w:rPr>
          <w:szCs w:val="24"/>
        </w:rPr>
        <w:t>arrangements</w:t>
      </w:r>
      <w:r w:rsidRPr="00605672">
        <w:rPr>
          <w:szCs w:val="24"/>
        </w:rPr>
        <w:t xml:space="preserve"> </w:t>
      </w:r>
      <w:r w:rsidR="004928E2">
        <w:rPr>
          <w:szCs w:val="24"/>
        </w:rPr>
        <w:t xml:space="preserve">exert </w:t>
      </w:r>
      <w:r w:rsidRPr="00605672">
        <w:rPr>
          <w:szCs w:val="24"/>
        </w:rPr>
        <w:t xml:space="preserve">the predicted </w:t>
      </w:r>
      <w:r w:rsidR="004928E2">
        <w:rPr>
          <w:szCs w:val="24"/>
        </w:rPr>
        <w:t xml:space="preserve">effects, in terms of </w:t>
      </w:r>
      <w:r w:rsidRPr="00605672">
        <w:rPr>
          <w:szCs w:val="24"/>
        </w:rPr>
        <w:t xml:space="preserve">motivating </w:t>
      </w:r>
      <w:r w:rsidR="004928E2">
        <w:rPr>
          <w:szCs w:val="24"/>
        </w:rPr>
        <w:t>the</w:t>
      </w:r>
      <w:r w:rsidRPr="00605672">
        <w:rPr>
          <w:szCs w:val="24"/>
        </w:rPr>
        <w:t xml:space="preserve"> supplier to </w:t>
      </w:r>
      <w:r w:rsidR="004856E5" w:rsidRPr="00605672">
        <w:rPr>
          <w:szCs w:val="24"/>
        </w:rPr>
        <w:t>make incremental</w:t>
      </w:r>
      <w:r w:rsidR="000B07AA">
        <w:rPr>
          <w:szCs w:val="24"/>
        </w:rPr>
        <w:t>,</w:t>
      </w:r>
      <w:r w:rsidR="004856E5" w:rsidRPr="00605672">
        <w:rPr>
          <w:szCs w:val="24"/>
        </w:rPr>
        <w:t xml:space="preserve"> </w:t>
      </w:r>
      <w:r w:rsidRPr="00605672">
        <w:rPr>
          <w:szCs w:val="24"/>
        </w:rPr>
        <w:t xml:space="preserve">reseller-specific </w:t>
      </w:r>
      <w:r w:rsidR="003313BB" w:rsidRPr="00605672">
        <w:rPr>
          <w:szCs w:val="24"/>
        </w:rPr>
        <w:t>investments</w:t>
      </w:r>
      <w:r w:rsidRPr="00605672">
        <w:rPr>
          <w:szCs w:val="24"/>
        </w:rPr>
        <w:t>.</w:t>
      </w:r>
    </w:p>
    <w:p w14:paraId="439786E9" w14:textId="7491CF49" w:rsidR="00CD0689" w:rsidRPr="00605672" w:rsidRDefault="004928E2" w:rsidP="00CD0689">
      <w:pPr>
        <w:pStyle w:val="Bodytext"/>
        <w:jc w:val="left"/>
        <w:rPr>
          <w:szCs w:val="24"/>
        </w:rPr>
      </w:pPr>
      <w:r>
        <w:rPr>
          <w:szCs w:val="24"/>
        </w:rPr>
        <w:t xml:space="preserve">We also predicted </w:t>
      </w:r>
      <w:r w:rsidR="00FB3B98" w:rsidRPr="00605672">
        <w:rPr>
          <w:szCs w:val="24"/>
        </w:rPr>
        <w:t xml:space="preserve">that </w:t>
      </w:r>
      <w:r>
        <w:rPr>
          <w:szCs w:val="24"/>
        </w:rPr>
        <w:t xml:space="preserve">when the </w:t>
      </w:r>
      <w:r w:rsidR="0048192E" w:rsidRPr="00605672">
        <w:rPr>
          <w:szCs w:val="24"/>
        </w:rPr>
        <w:t xml:space="preserve">supplier’s initial </w:t>
      </w:r>
      <w:r w:rsidR="00FB3B98" w:rsidRPr="00605672">
        <w:rPr>
          <w:szCs w:val="24"/>
        </w:rPr>
        <w:t xml:space="preserve">reseller </w:t>
      </w:r>
      <w:r w:rsidR="0089722F" w:rsidRPr="00605672">
        <w:rPr>
          <w:szCs w:val="24"/>
        </w:rPr>
        <w:t>selection</w:t>
      </w:r>
      <w:r w:rsidR="00FB3B98" w:rsidRPr="00605672">
        <w:rPr>
          <w:szCs w:val="24"/>
        </w:rPr>
        <w:t xml:space="preserve"> </w:t>
      </w:r>
      <w:r w:rsidR="009A6B4B" w:rsidRPr="00605672">
        <w:rPr>
          <w:szCs w:val="24"/>
        </w:rPr>
        <w:t xml:space="preserve">efforts </w:t>
      </w:r>
      <w:r w:rsidR="00245EF4" w:rsidRPr="00605672">
        <w:rPr>
          <w:szCs w:val="24"/>
        </w:rPr>
        <w:t xml:space="preserve">and </w:t>
      </w:r>
      <w:r>
        <w:rPr>
          <w:szCs w:val="24"/>
        </w:rPr>
        <w:t>the</w:t>
      </w:r>
      <w:r w:rsidR="00245EF4" w:rsidRPr="00605672">
        <w:rPr>
          <w:szCs w:val="24"/>
        </w:rPr>
        <w:t xml:space="preserve"> mutual asymmetric </w:t>
      </w:r>
      <w:r w:rsidR="006322EF" w:rsidRPr="00605672">
        <w:rPr>
          <w:szCs w:val="24"/>
        </w:rPr>
        <w:t xml:space="preserve">investments </w:t>
      </w:r>
      <w:r w:rsidR="0048192E" w:rsidRPr="00605672">
        <w:rPr>
          <w:szCs w:val="24"/>
        </w:rPr>
        <w:t xml:space="preserve">in the supplier’s favor </w:t>
      </w:r>
      <w:r>
        <w:rPr>
          <w:szCs w:val="24"/>
        </w:rPr>
        <w:t xml:space="preserve">are greater </w:t>
      </w:r>
      <w:r w:rsidR="009E1674" w:rsidRPr="00605672">
        <w:rPr>
          <w:szCs w:val="24"/>
        </w:rPr>
        <w:t>(time 1)</w:t>
      </w:r>
      <w:r w:rsidR="00FB3B98" w:rsidRPr="00605672">
        <w:rPr>
          <w:szCs w:val="24"/>
        </w:rPr>
        <w:t xml:space="preserve">, the positive effect of a supplier’s incremental investments on </w:t>
      </w:r>
      <w:r w:rsidR="0070641F" w:rsidRPr="00605672">
        <w:rPr>
          <w:szCs w:val="24"/>
        </w:rPr>
        <w:t xml:space="preserve">supplier </w:t>
      </w:r>
      <w:r w:rsidR="00FB3B98" w:rsidRPr="00605672">
        <w:rPr>
          <w:szCs w:val="24"/>
        </w:rPr>
        <w:t>ex post transaction costs</w:t>
      </w:r>
      <w:r w:rsidR="009E1674" w:rsidRPr="00605672">
        <w:rPr>
          <w:szCs w:val="24"/>
        </w:rPr>
        <w:t xml:space="preserve"> </w:t>
      </w:r>
      <w:r>
        <w:rPr>
          <w:szCs w:val="24"/>
        </w:rPr>
        <w:t xml:space="preserve">would be weaker </w:t>
      </w:r>
      <w:r w:rsidR="009E1674" w:rsidRPr="00605672">
        <w:rPr>
          <w:szCs w:val="24"/>
        </w:rPr>
        <w:t>(time 2)</w:t>
      </w:r>
      <w:r w:rsidR="00FB3B98" w:rsidRPr="00605672">
        <w:rPr>
          <w:szCs w:val="24"/>
        </w:rPr>
        <w:t xml:space="preserve">. </w:t>
      </w:r>
      <w:r>
        <w:rPr>
          <w:szCs w:val="24"/>
        </w:rPr>
        <w:t xml:space="preserve">To test </w:t>
      </w:r>
      <w:r w:rsidR="00FB3B98" w:rsidRPr="00605672">
        <w:rPr>
          <w:szCs w:val="24"/>
        </w:rPr>
        <w:t>H</w:t>
      </w:r>
      <w:r w:rsidR="00AA5B5D" w:rsidRPr="00727D37">
        <w:rPr>
          <w:szCs w:val="24"/>
          <w:vertAlign w:val="subscript"/>
        </w:rPr>
        <w:t>3a</w:t>
      </w:r>
      <w:r>
        <w:rPr>
          <w:szCs w:val="24"/>
        </w:rPr>
        <w:t xml:space="preserve">, we consider </w:t>
      </w:r>
      <w:r w:rsidR="00FB3B98" w:rsidRPr="00605672">
        <w:rPr>
          <w:szCs w:val="24"/>
        </w:rPr>
        <w:t>the multiplicative effect of suppl</w:t>
      </w:r>
      <w:r w:rsidR="009761A7" w:rsidRPr="00605672">
        <w:rPr>
          <w:szCs w:val="24"/>
        </w:rPr>
        <w:t xml:space="preserve">ier incremental investments and </w:t>
      </w:r>
      <w:r w:rsidR="00FB3B98" w:rsidRPr="00605672">
        <w:rPr>
          <w:szCs w:val="24"/>
        </w:rPr>
        <w:t xml:space="preserve">reseller </w:t>
      </w:r>
      <w:r w:rsidR="0089722F" w:rsidRPr="00605672">
        <w:rPr>
          <w:szCs w:val="24"/>
        </w:rPr>
        <w:t>selection</w:t>
      </w:r>
      <w:r w:rsidR="00FB3B98" w:rsidRPr="00605672">
        <w:rPr>
          <w:szCs w:val="24"/>
        </w:rPr>
        <w:t xml:space="preserve"> </w:t>
      </w:r>
      <w:r w:rsidR="008F353B" w:rsidRPr="00605672">
        <w:rPr>
          <w:szCs w:val="24"/>
        </w:rPr>
        <w:t xml:space="preserve">efforts </w:t>
      </w:r>
      <w:r w:rsidR="00FB3B98" w:rsidRPr="00605672">
        <w:rPr>
          <w:szCs w:val="24"/>
        </w:rPr>
        <w:t xml:space="preserve">on ex post transaction costs. As Table </w:t>
      </w:r>
      <w:r w:rsidR="00CC5859" w:rsidRPr="00605672">
        <w:rPr>
          <w:szCs w:val="24"/>
        </w:rPr>
        <w:t xml:space="preserve">2 </w:t>
      </w:r>
      <w:r w:rsidR="00FB3B98" w:rsidRPr="00605672">
        <w:rPr>
          <w:szCs w:val="24"/>
        </w:rPr>
        <w:t xml:space="preserve">shows, supplier incremental investments </w:t>
      </w:r>
      <w:r w:rsidR="006F126F" w:rsidRPr="00605672">
        <w:rPr>
          <w:szCs w:val="24"/>
        </w:rPr>
        <w:t>increase</w:t>
      </w:r>
      <w:r w:rsidR="00FB3B98" w:rsidRPr="00605672">
        <w:rPr>
          <w:szCs w:val="24"/>
        </w:rPr>
        <w:t xml:space="preserve"> ex post transaction costs (β</w:t>
      </w:r>
      <w:r>
        <w:rPr>
          <w:szCs w:val="24"/>
        </w:rPr>
        <w:t xml:space="preserve"> </w:t>
      </w:r>
      <w:r w:rsidR="00FB3B98" w:rsidRPr="00605672">
        <w:rPr>
          <w:szCs w:val="24"/>
        </w:rPr>
        <w:t>=</w:t>
      </w:r>
      <w:r>
        <w:rPr>
          <w:szCs w:val="24"/>
        </w:rPr>
        <w:t xml:space="preserve"> </w:t>
      </w:r>
      <w:r w:rsidR="00FB3B98" w:rsidRPr="00605672">
        <w:rPr>
          <w:szCs w:val="24"/>
        </w:rPr>
        <w:t>.</w:t>
      </w:r>
      <w:r w:rsidR="00A36768" w:rsidRPr="00605672">
        <w:rPr>
          <w:szCs w:val="24"/>
        </w:rPr>
        <w:t>87</w:t>
      </w:r>
      <w:r w:rsidR="00FB3B98" w:rsidRPr="00605672">
        <w:rPr>
          <w:szCs w:val="24"/>
        </w:rPr>
        <w:t xml:space="preserve">, </w:t>
      </w:r>
      <w:r w:rsidR="00AA5B5D" w:rsidRPr="00727D37">
        <w:rPr>
          <w:i/>
          <w:szCs w:val="24"/>
        </w:rPr>
        <w:t>p</w:t>
      </w:r>
      <w:r w:rsidR="00FB3B98" w:rsidRPr="00605672">
        <w:rPr>
          <w:szCs w:val="24"/>
        </w:rPr>
        <w:t xml:space="preserve"> &lt;</w:t>
      </w:r>
      <w:r>
        <w:rPr>
          <w:szCs w:val="24"/>
        </w:rPr>
        <w:t xml:space="preserve"> </w:t>
      </w:r>
      <w:r w:rsidR="00FB3B98" w:rsidRPr="00605672">
        <w:rPr>
          <w:szCs w:val="24"/>
        </w:rPr>
        <w:t>.</w:t>
      </w:r>
      <w:r w:rsidR="001E14A6" w:rsidRPr="00605672">
        <w:rPr>
          <w:szCs w:val="24"/>
        </w:rPr>
        <w:t>10</w:t>
      </w:r>
      <w:r w:rsidR="00FB3B98" w:rsidRPr="00605672">
        <w:rPr>
          <w:szCs w:val="24"/>
        </w:rPr>
        <w:t>)</w:t>
      </w:r>
      <w:r w:rsidR="00ED378C" w:rsidRPr="00605672">
        <w:rPr>
          <w:szCs w:val="24"/>
        </w:rPr>
        <w:t xml:space="preserve">, </w:t>
      </w:r>
      <w:r>
        <w:rPr>
          <w:szCs w:val="24"/>
        </w:rPr>
        <w:t xml:space="preserve">but </w:t>
      </w:r>
      <w:r w:rsidR="00FB3B98" w:rsidRPr="00605672">
        <w:rPr>
          <w:szCs w:val="24"/>
        </w:rPr>
        <w:t xml:space="preserve">the joint effect of supplier incremental investments and reseller </w:t>
      </w:r>
      <w:r w:rsidR="0089722F" w:rsidRPr="00605672">
        <w:rPr>
          <w:szCs w:val="24"/>
        </w:rPr>
        <w:t>selection</w:t>
      </w:r>
      <w:r w:rsidR="008F353B" w:rsidRPr="00605672">
        <w:rPr>
          <w:szCs w:val="24"/>
        </w:rPr>
        <w:t xml:space="preserve"> effort</w:t>
      </w:r>
      <w:r w:rsidR="003313BB" w:rsidRPr="00605672">
        <w:rPr>
          <w:szCs w:val="24"/>
        </w:rPr>
        <w:t>s</w:t>
      </w:r>
      <w:r w:rsidR="00FB3B98" w:rsidRPr="00605672">
        <w:rPr>
          <w:szCs w:val="24"/>
        </w:rPr>
        <w:t xml:space="preserve"> is significant and negative (β</w:t>
      </w:r>
      <w:r>
        <w:rPr>
          <w:szCs w:val="24"/>
        </w:rPr>
        <w:t xml:space="preserve"> </w:t>
      </w:r>
      <w:r w:rsidR="00FB3B98" w:rsidRPr="00605672">
        <w:rPr>
          <w:szCs w:val="24"/>
        </w:rPr>
        <w:t xml:space="preserve">= </w:t>
      </w:r>
      <w:r>
        <w:rPr>
          <w:szCs w:val="24"/>
        </w:rPr>
        <w:t>–</w:t>
      </w:r>
      <w:r w:rsidR="00FB3B98" w:rsidRPr="00605672">
        <w:rPr>
          <w:szCs w:val="24"/>
        </w:rPr>
        <w:t>.1</w:t>
      </w:r>
      <w:r w:rsidR="00A36768" w:rsidRPr="00605672">
        <w:rPr>
          <w:szCs w:val="24"/>
        </w:rPr>
        <w:t>0</w:t>
      </w:r>
      <w:r w:rsidR="00FB3B98" w:rsidRPr="00605672">
        <w:rPr>
          <w:szCs w:val="24"/>
        </w:rPr>
        <w:t xml:space="preserve">, </w:t>
      </w:r>
      <w:r w:rsidR="00AA5B5D" w:rsidRPr="00727D37">
        <w:rPr>
          <w:i/>
          <w:szCs w:val="24"/>
        </w:rPr>
        <w:t>p</w:t>
      </w:r>
      <w:r w:rsidR="00FB3B98" w:rsidRPr="00605672">
        <w:rPr>
          <w:szCs w:val="24"/>
        </w:rPr>
        <w:t xml:space="preserve"> </w:t>
      </w:r>
      <w:r w:rsidR="003D1A77" w:rsidRPr="00605672">
        <w:rPr>
          <w:szCs w:val="24"/>
        </w:rPr>
        <w:t>&lt;</w:t>
      </w:r>
      <w:r>
        <w:rPr>
          <w:szCs w:val="24"/>
        </w:rPr>
        <w:t xml:space="preserve"> </w:t>
      </w:r>
      <w:r w:rsidR="003D1A77" w:rsidRPr="00605672">
        <w:rPr>
          <w:szCs w:val="24"/>
        </w:rPr>
        <w:t xml:space="preserve">.05), </w:t>
      </w:r>
      <w:r>
        <w:rPr>
          <w:szCs w:val="24"/>
        </w:rPr>
        <w:t>in</w:t>
      </w:r>
      <w:r w:rsidR="003D1A77" w:rsidRPr="00605672">
        <w:rPr>
          <w:szCs w:val="24"/>
        </w:rPr>
        <w:t xml:space="preserve"> support</w:t>
      </w:r>
      <w:r>
        <w:rPr>
          <w:szCs w:val="24"/>
        </w:rPr>
        <w:t xml:space="preserve"> of </w:t>
      </w:r>
      <w:r w:rsidR="003D1A77" w:rsidRPr="00605672">
        <w:rPr>
          <w:szCs w:val="24"/>
        </w:rPr>
        <w:t>H</w:t>
      </w:r>
      <w:r w:rsidR="00AA5B5D" w:rsidRPr="00727D37">
        <w:rPr>
          <w:szCs w:val="24"/>
          <w:vertAlign w:val="subscript"/>
        </w:rPr>
        <w:t>3a</w:t>
      </w:r>
      <w:r w:rsidR="003D1A77" w:rsidRPr="00605672">
        <w:rPr>
          <w:szCs w:val="24"/>
        </w:rPr>
        <w:t>.</w:t>
      </w:r>
      <w:r w:rsidR="00771AC4" w:rsidRPr="00605672">
        <w:rPr>
          <w:szCs w:val="24"/>
        </w:rPr>
        <w:t xml:space="preserve"> </w:t>
      </w:r>
      <w:r>
        <w:rPr>
          <w:szCs w:val="24"/>
        </w:rPr>
        <w:t>W</w:t>
      </w:r>
      <w:r w:rsidR="00CD0689" w:rsidRPr="00605672">
        <w:rPr>
          <w:szCs w:val="24"/>
        </w:rPr>
        <w:t xml:space="preserve">e </w:t>
      </w:r>
      <w:r>
        <w:rPr>
          <w:szCs w:val="24"/>
        </w:rPr>
        <w:t xml:space="preserve">present </w:t>
      </w:r>
      <w:r w:rsidR="00CD0689" w:rsidRPr="00605672">
        <w:rPr>
          <w:szCs w:val="24"/>
        </w:rPr>
        <w:t xml:space="preserve">a surface plot in Figure 2 </w:t>
      </w:r>
      <w:r>
        <w:rPr>
          <w:szCs w:val="24"/>
        </w:rPr>
        <w:t xml:space="preserve">that depicts </w:t>
      </w:r>
      <w:r w:rsidR="00CD0689" w:rsidRPr="00605672">
        <w:rPr>
          <w:szCs w:val="24"/>
        </w:rPr>
        <w:t xml:space="preserve">how </w:t>
      </w:r>
      <w:r w:rsidR="0070641F" w:rsidRPr="00605672">
        <w:rPr>
          <w:szCs w:val="24"/>
        </w:rPr>
        <w:t xml:space="preserve">supplier </w:t>
      </w:r>
      <w:r w:rsidR="00CD0689" w:rsidRPr="00605672">
        <w:rPr>
          <w:szCs w:val="24"/>
        </w:rPr>
        <w:t xml:space="preserve">ex post transaction costs vary jointly with supplier incremental investments </w:t>
      </w:r>
      <w:r w:rsidR="0022710E" w:rsidRPr="00605672">
        <w:rPr>
          <w:szCs w:val="24"/>
        </w:rPr>
        <w:t xml:space="preserve">and </w:t>
      </w:r>
      <w:r w:rsidR="00CD0689" w:rsidRPr="00605672">
        <w:rPr>
          <w:szCs w:val="24"/>
        </w:rPr>
        <w:t xml:space="preserve">reseller </w:t>
      </w:r>
      <w:r w:rsidR="0089722F" w:rsidRPr="00605672">
        <w:rPr>
          <w:szCs w:val="24"/>
        </w:rPr>
        <w:t>selection</w:t>
      </w:r>
      <w:r w:rsidR="008F353B" w:rsidRPr="00605672">
        <w:rPr>
          <w:szCs w:val="24"/>
        </w:rPr>
        <w:t xml:space="preserve"> effort</w:t>
      </w:r>
      <w:r w:rsidR="003313BB" w:rsidRPr="00605672">
        <w:rPr>
          <w:szCs w:val="24"/>
        </w:rPr>
        <w:t>s</w:t>
      </w:r>
      <w:r w:rsidR="00CD0689" w:rsidRPr="00605672">
        <w:rPr>
          <w:szCs w:val="24"/>
        </w:rPr>
        <w:t xml:space="preserve">. </w:t>
      </w:r>
      <w:r>
        <w:rPr>
          <w:szCs w:val="24"/>
        </w:rPr>
        <w:t xml:space="preserve">The </w:t>
      </w:r>
      <w:r w:rsidR="00CD0689" w:rsidRPr="00605672">
        <w:rPr>
          <w:szCs w:val="24"/>
        </w:rPr>
        <w:t>downward sloping surface</w:t>
      </w:r>
      <w:r w:rsidR="00CD0689" w:rsidRPr="00605672">
        <w:t xml:space="preserve"> in Figure 2 (Panel A1)</w:t>
      </w:r>
      <w:r>
        <w:t xml:space="preserve"> indicates that </w:t>
      </w:r>
      <w:r w:rsidR="00CD0689" w:rsidRPr="00605672">
        <w:rPr>
          <w:szCs w:val="24"/>
        </w:rPr>
        <w:t>the joint effect of supplier incremental investments (</w:t>
      </w:r>
      <w:r w:rsidR="00C01960" w:rsidRPr="00605672">
        <w:rPr>
          <w:szCs w:val="24"/>
        </w:rPr>
        <w:t>SINVT2</w:t>
      </w:r>
      <w:r w:rsidR="00CD0689" w:rsidRPr="00605672">
        <w:rPr>
          <w:szCs w:val="24"/>
        </w:rPr>
        <w:t xml:space="preserve">) and reseller </w:t>
      </w:r>
      <w:r w:rsidR="0089722F" w:rsidRPr="00605672">
        <w:rPr>
          <w:szCs w:val="24"/>
        </w:rPr>
        <w:t>selection</w:t>
      </w:r>
      <w:r w:rsidR="008F353B" w:rsidRPr="00605672">
        <w:rPr>
          <w:szCs w:val="24"/>
        </w:rPr>
        <w:t xml:space="preserve"> effort</w:t>
      </w:r>
      <w:r w:rsidR="003313BB" w:rsidRPr="00605672">
        <w:rPr>
          <w:szCs w:val="24"/>
        </w:rPr>
        <w:t>s</w:t>
      </w:r>
      <w:r w:rsidR="00CD0689" w:rsidRPr="00605672">
        <w:rPr>
          <w:szCs w:val="24"/>
        </w:rPr>
        <w:t xml:space="preserve"> (</w:t>
      </w:r>
      <w:r w:rsidR="003B7993" w:rsidRPr="00605672">
        <w:rPr>
          <w:szCs w:val="24"/>
        </w:rPr>
        <w:t>SSEL</w:t>
      </w:r>
      <w:r w:rsidR="00CD0689" w:rsidRPr="00605672">
        <w:rPr>
          <w:szCs w:val="24"/>
        </w:rPr>
        <w:t>T1) on transaction costs is negative</w:t>
      </w:r>
      <w:r>
        <w:rPr>
          <w:szCs w:val="24"/>
        </w:rPr>
        <w:t xml:space="preserve">, as we predict in </w:t>
      </w:r>
      <w:r w:rsidR="00CD0689" w:rsidRPr="00605672">
        <w:rPr>
          <w:szCs w:val="24"/>
        </w:rPr>
        <w:t>H</w:t>
      </w:r>
      <w:r w:rsidR="00AA5B5D" w:rsidRPr="00727D37">
        <w:rPr>
          <w:szCs w:val="24"/>
          <w:vertAlign w:val="subscript"/>
        </w:rPr>
        <w:t>3a</w:t>
      </w:r>
      <w:r w:rsidR="00CD0689" w:rsidRPr="00605672">
        <w:rPr>
          <w:szCs w:val="24"/>
        </w:rPr>
        <w:t xml:space="preserve">. </w:t>
      </w:r>
      <w:r>
        <w:rPr>
          <w:szCs w:val="24"/>
        </w:rPr>
        <w:t>For</w:t>
      </w:r>
      <w:r w:rsidR="00CD0689" w:rsidRPr="00605672">
        <w:rPr>
          <w:szCs w:val="24"/>
        </w:rPr>
        <w:t xml:space="preserve"> a given level of supplier incremental investments (</w:t>
      </w:r>
      <w:r>
        <w:rPr>
          <w:szCs w:val="24"/>
        </w:rPr>
        <w:t>e.g.</w:t>
      </w:r>
      <w:r w:rsidR="00CD0689" w:rsidRPr="00605672">
        <w:rPr>
          <w:szCs w:val="24"/>
        </w:rPr>
        <w:t xml:space="preserve">, fixing </w:t>
      </w:r>
      <w:r w:rsidR="00C01960" w:rsidRPr="00605672">
        <w:rPr>
          <w:szCs w:val="24"/>
        </w:rPr>
        <w:t>SINVT2</w:t>
      </w:r>
      <w:r w:rsidR="00CD0689" w:rsidRPr="00605672">
        <w:rPr>
          <w:szCs w:val="24"/>
        </w:rPr>
        <w:t xml:space="preserve"> to 2.5 units), costs are highest when reseller </w:t>
      </w:r>
      <w:r w:rsidR="0089722F" w:rsidRPr="00605672">
        <w:rPr>
          <w:szCs w:val="24"/>
        </w:rPr>
        <w:t>selection</w:t>
      </w:r>
      <w:r w:rsidR="00CD0689" w:rsidRPr="00605672">
        <w:rPr>
          <w:szCs w:val="24"/>
        </w:rPr>
        <w:t xml:space="preserve"> </w:t>
      </w:r>
      <w:r w:rsidR="008F353B" w:rsidRPr="00605672">
        <w:rPr>
          <w:szCs w:val="24"/>
        </w:rPr>
        <w:t>effort</w:t>
      </w:r>
      <w:r w:rsidR="003313BB" w:rsidRPr="00605672">
        <w:rPr>
          <w:szCs w:val="24"/>
        </w:rPr>
        <w:t xml:space="preserve">s are </w:t>
      </w:r>
      <w:r w:rsidR="00CD0689" w:rsidRPr="00605672">
        <w:rPr>
          <w:szCs w:val="24"/>
        </w:rPr>
        <w:t xml:space="preserve">at </w:t>
      </w:r>
      <w:r w:rsidR="00CC77DE" w:rsidRPr="00605672">
        <w:rPr>
          <w:szCs w:val="24"/>
        </w:rPr>
        <w:t>their</w:t>
      </w:r>
      <w:r w:rsidR="00CD0689" w:rsidRPr="00605672">
        <w:rPr>
          <w:szCs w:val="24"/>
        </w:rPr>
        <w:t xml:space="preserve"> lowest</w:t>
      </w:r>
      <w:r w:rsidR="00584CB9" w:rsidRPr="00605672">
        <w:rPr>
          <w:szCs w:val="24"/>
        </w:rPr>
        <w:t xml:space="preserve"> depicted</w:t>
      </w:r>
      <w:r w:rsidR="00CD0689" w:rsidRPr="00605672">
        <w:rPr>
          <w:szCs w:val="24"/>
        </w:rPr>
        <w:t xml:space="preserve"> level (i.e., </w:t>
      </w:r>
      <w:r w:rsidR="003B7993" w:rsidRPr="00605672">
        <w:rPr>
          <w:szCs w:val="24"/>
        </w:rPr>
        <w:t>SSEL</w:t>
      </w:r>
      <w:r w:rsidR="00CD0689" w:rsidRPr="00605672">
        <w:rPr>
          <w:szCs w:val="24"/>
        </w:rPr>
        <w:t xml:space="preserve">T1 </w:t>
      </w:r>
      <w:r>
        <w:rPr>
          <w:szCs w:val="24"/>
        </w:rPr>
        <w:t>= –</w:t>
      </w:r>
      <w:r w:rsidR="00CD0689" w:rsidRPr="00605672">
        <w:rPr>
          <w:szCs w:val="24"/>
        </w:rPr>
        <w:t xml:space="preserve">5.5 units). </w:t>
      </w:r>
      <w:r w:rsidR="000228C7" w:rsidRPr="00605672">
        <w:rPr>
          <w:szCs w:val="24"/>
        </w:rPr>
        <w:t>A</w:t>
      </w:r>
      <w:r w:rsidR="00CD0689" w:rsidRPr="00605672">
        <w:rPr>
          <w:szCs w:val="24"/>
        </w:rPr>
        <w:t xml:space="preserve">s reseller </w:t>
      </w:r>
      <w:r w:rsidR="0089722F" w:rsidRPr="00605672">
        <w:rPr>
          <w:szCs w:val="24"/>
        </w:rPr>
        <w:t>selection</w:t>
      </w:r>
      <w:r w:rsidR="008F353B" w:rsidRPr="00605672">
        <w:rPr>
          <w:szCs w:val="24"/>
        </w:rPr>
        <w:t xml:space="preserve"> effort</w:t>
      </w:r>
      <w:r w:rsidR="00CC77DE" w:rsidRPr="00605672">
        <w:rPr>
          <w:szCs w:val="24"/>
        </w:rPr>
        <w:t>s</w:t>
      </w:r>
      <w:r w:rsidR="004E53AD" w:rsidRPr="00605672">
        <w:rPr>
          <w:szCs w:val="24"/>
        </w:rPr>
        <w:t xml:space="preserve"> increase, we move down the</w:t>
      </w:r>
      <w:r w:rsidR="00CD0689" w:rsidRPr="00605672">
        <w:rPr>
          <w:szCs w:val="24"/>
        </w:rPr>
        <w:t xml:space="preserve"> cost surface, </w:t>
      </w:r>
      <w:r>
        <w:rPr>
          <w:szCs w:val="24"/>
        </w:rPr>
        <w:t xml:space="preserve">then </w:t>
      </w:r>
      <w:r w:rsidR="00CD0689" w:rsidRPr="00605672">
        <w:rPr>
          <w:szCs w:val="24"/>
        </w:rPr>
        <w:t>reach the lowest cost point when</w:t>
      </w:r>
      <w:r w:rsidR="008F353B" w:rsidRPr="00605672">
        <w:rPr>
          <w:szCs w:val="24"/>
        </w:rPr>
        <w:t xml:space="preserve"> reseller</w:t>
      </w:r>
      <w:r w:rsidR="00CD0689" w:rsidRPr="00605672">
        <w:rPr>
          <w:szCs w:val="24"/>
        </w:rPr>
        <w:t xml:space="preserve"> </w:t>
      </w:r>
      <w:r w:rsidR="0089722F" w:rsidRPr="00605672">
        <w:rPr>
          <w:szCs w:val="24"/>
        </w:rPr>
        <w:t>selection</w:t>
      </w:r>
      <w:r w:rsidR="00CD0689" w:rsidRPr="00605672">
        <w:rPr>
          <w:szCs w:val="24"/>
        </w:rPr>
        <w:t xml:space="preserve"> </w:t>
      </w:r>
      <w:r w:rsidR="00CC77DE" w:rsidRPr="00605672">
        <w:rPr>
          <w:szCs w:val="24"/>
        </w:rPr>
        <w:t>effort</w:t>
      </w:r>
      <w:r>
        <w:rPr>
          <w:szCs w:val="24"/>
        </w:rPr>
        <w:t>s</w:t>
      </w:r>
      <w:r w:rsidR="00CC77DE" w:rsidRPr="00605672">
        <w:rPr>
          <w:szCs w:val="24"/>
        </w:rPr>
        <w:t xml:space="preserve"> are </w:t>
      </w:r>
      <w:r w:rsidR="00CD0689" w:rsidRPr="00605672">
        <w:rPr>
          <w:szCs w:val="24"/>
        </w:rPr>
        <w:t xml:space="preserve">at </w:t>
      </w:r>
      <w:r w:rsidR="00CC77DE" w:rsidRPr="00605672">
        <w:rPr>
          <w:szCs w:val="24"/>
        </w:rPr>
        <w:t>their</w:t>
      </w:r>
      <w:r w:rsidR="00584CB9" w:rsidRPr="00605672">
        <w:rPr>
          <w:szCs w:val="24"/>
        </w:rPr>
        <w:t xml:space="preserve"> </w:t>
      </w:r>
      <w:r w:rsidR="00CD0689" w:rsidRPr="00605672">
        <w:rPr>
          <w:szCs w:val="24"/>
        </w:rPr>
        <w:t xml:space="preserve">highest </w:t>
      </w:r>
      <w:r w:rsidR="00584CB9" w:rsidRPr="00605672">
        <w:rPr>
          <w:szCs w:val="24"/>
        </w:rPr>
        <w:t xml:space="preserve">depicted </w:t>
      </w:r>
      <w:r w:rsidR="00CD0689" w:rsidRPr="00605672">
        <w:rPr>
          <w:szCs w:val="24"/>
        </w:rPr>
        <w:t>level (5.5 units).</w:t>
      </w:r>
    </w:p>
    <w:p w14:paraId="271F8478" w14:textId="23C3D6CF" w:rsidR="00C61F76" w:rsidRPr="00605672" w:rsidRDefault="00CD0689" w:rsidP="00143A23">
      <w:pPr>
        <w:pStyle w:val="Bodytext"/>
        <w:jc w:val="left"/>
        <w:rPr>
          <w:szCs w:val="24"/>
        </w:rPr>
      </w:pPr>
      <w:r w:rsidRPr="00605672">
        <w:rPr>
          <w:szCs w:val="24"/>
        </w:rPr>
        <w:t xml:space="preserve">To gather </w:t>
      </w:r>
      <w:r w:rsidR="00265A3F" w:rsidRPr="00605672">
        <w:rPr>
          <w:szCs w:val="24"/>
        </w:rPr>
        <w:t xml:space="preserve">additional </w:t>
      </w:r>
      <w:r w:rsidRPr="00605672">
        <w:rPr>
          <w:szCs w:val="24"/>
        </w:rPr>
        <w:t>insight</w:t>
      </w:r>
      <w:r w:rsidR="00265A3F" w:rsidRPr="00605672">
        <w:rPr>
          <w:szCs w:val="24"/>
        </w:rPr>
        <w:t xml:space="preserve">, </w:t>
      </w:r>
      <w:r w:rsidR="00FB3B98" w:rsidRPr="00605672">
        <w:rPr>
          <w:szCs w:val="24"/>
        </w:rPr>
        <w:t xml:space="preserve">we </w:t>
      </w:r>
      <w:r w:rsidR="004928E2">
        <w:rPr>
          <w:szCs w:val="24"/>
        </w:rPr>
        <w:t>use</w:t>
      </w:r>
      <w:r w:rsidR="00EF6D1C" w:rsidRPr="00605672">
        <w:rPr>
          <w:szCs w:val="24"/>
        </w:rPr>
        <w:t xml:space="preserve"> latent scores</w:t>
      </w:r>
      <w:r w:rsidR="004928E2">
        <w:rPr>
          <w:szCs w:val="24"/>
        </w:rPr>
        <w:t xml:space="preserve"> to plot</w:t>
      </w:r>
      <w:r w:rsidR="00EF6D1C" w:rsidRPr="00605672">
        <w:rPr>
          <w:szCs w:val="24"/>
        </w:rPr>
        <w:t xml:space="preserve"> </w:t>
      </w:r>
      <w:r w:rsidR="00265A3F" w:rsidRPr="00605672">
        <w:rPr>
          <w:szCs w:val="24"/>
        </w:rPr>
        <w:t xml:space="preserve">the slope </w:t>
      </w:r>
      <w:r w:rsidR="00FB3B98" w:rsidRPr="00605672">
        <w:rPr>
          <w:szCs w:val="24"/>
        </w:rPr>
        <w:t xml:space="preserve">of supplier incremental investments on </w:t>
      </w:r>
      <w:r w:rsidR="0070641F" w:rsidRPr="00605672">
        <w:rPr>
          <w:szCs w:val="24"/>
        </w:rPr>
        <w:t xml:space="preserve">supplier </w:t>
      </w:r>
      <w:r w:rsidR="00FB3B98" w:rsidRPr="00605672">
        <w:rPr>
          <w:szCs w:val="24"/>
        </w:rPr>
        <w:t xml:space="preserve">ex post transaction costs at five levels of reseller </w:t>
      </w:r>
      <w:r w:rsidR="0089722F" w:rsidRPr="00605672">
        <w:rPr>
          <w:szCs w:val="24"/>
        </w:rPr>
        <w:t>selection</w:t>
      </w:r>
      <w:r w:rsidR="00C57E11" w:rsidRPr="00605672">
        <w:rPr>
          <w:szCs w:val="24"/>
        </w:rPr>
        <w:t xml:space="preserve"> </w:t>
      </w:r>
      <w:r w:rsidR="00FB3B98" w:rsidRPr="00605672">
        <w:rPr>
          <w:szCs w:val="24"/>
        </w:rPr>
        <w:t>efforts</w:t>
      </w:r>
      <w:r w:rsidR="004928E2">
        <w:rPr>
          <w:szCs w:val="24"/>
        </w:rPr>
        <w:t>, as a moderator</w:t>
      </w:r>
      <w:r w:rsidR="00FB3B98" w:rsidRPr="00605672">
        <w:rPr>
          <w:szCs w:val="24"/>
        </w:rPr>
        <w:t>: the mean level of the moderator (</w:t>
      </w:r>
      <w:r w:rsidR="00FD2E70" w:rsidRPr="00605672">
        <w:rPr>
          <w:szCs w:val="24"/>
        </w:rPr>
        <w:t>β</w:t>
      </w:r>
      <w:r w:rsidR="00FD2E70" w:rsidRPr="00605672">
        <w:rPr>
          <w:szCs w:val="24"/>
          <w:vertAlign w:val="subscript"/>
        </w:rPr>
        <w:t>Mean</w:t>
      </w:r>
      <w:r w:rsidR="00FB3B98" w:rsidRPr="00605672">
        <w:rPr>
          <w:szCs w:val="24"/>
        </w:rPr>
        <w:t>)</w:t>
      </w:r>
      <w:r w:rsidR="004928E2">
        <w:rPr>
          <w:szCs w:val="24"/>
        </w:rPr>
        <w:t>,</w:t>
      </w:r>
      <w:r w:rsidR="00FB3B98" w:rsidRPr="00605672">
        <w:rPr>
          <w:szCs w:val="24"/>
        </w:rPr>
        <w:t xml:space="preserve"> one standard deviation </w:t>
      </w:r>
      <w:r w:rsidR="004928E2">
        <w:rPr>
          <w:szCs w:val="24"/>
        </w:rPr>
        <w:t>(SD)</w:t>
      </w:r>
      <w:r w:rsidR="00FA6947" w:rsidRPr="00605672">
        <w:rPr>
          <w:szCs w:val="24"/>
        </w:rPr>
        <w:t xml:space="preserve"> </w:t>
      </w:r>
      <w:r w:rsidR="00FB3B98" w:rsidRPr="00605672">
        <w:rPr>
          <w:szCs w:val="24"/>
        </w:rPr>
        <w:t xml:space="preserve">below and </w:t>
      </w:r>
      <w:r w:rsidR="00FB3B98" w:rsidRPr="00605672">
        <w:rPr>
          <w:szCs w:val="24"/>
        </w:rPr>
        <w:lastRenderedPageBreak/>
        <w:t>above the mean (β</w:t>
      </w:r>
      <w:r w:rsidR="004928E2">
        <w:rPr>
          <w:szCs w:val="24"/>
          <w:vertAlign w:val="subscript"/>
        </w:rPr>
        <w:t>–</w:t>
      </w:r>
      <w:r w:rsidR="00FB3B98" w:rsidRPr="00605672">
        <w:rPr>
          <w:szCs w:val="24"/>
          <w:vertAlign w:val="subscript"/>
        </w:rPr>
        <w:t>1SD</w:t>
      </w:r>
      <w:r w:rsidR="00FB3B98" w:rsidRPr="00605672">
        <w:rPr>
          <w:szCs w:val="24"/>
        </w:rPr>
        <w:t>, β</w:t>
      </w:r>
      <w:r w:rsidR="00FB3B98" w:rsidRPr="00605672">
        <w:rPr>
          <w:szCs w:val="24"/>
          <w:vertAlign w:val="subscript"/>
        </w:rPr>
        <w:t>+1SD</w:t>
      </w:r>
      <w:r w:rsidR="00FB3B98" w:rsidRPr="00605672">
        <w:rPr>
          <w:szCs w:val="24"/>
        </w:rPr>
        <w:t>)</w:t>
      </w:r>
      <w:r w:rsidR="004928E2">
        <w:rPr>
          <w:szCs w:val="24"/>
        </w:rPr>
        <w:t>,</w:t>
      </w:r>
      <w:r w:rsidR="00FB3B98" w:rsidRPr="00605672">
        <w:rPr>
          <w:szCs w:val="24"/>
        </w:rPr>
        <w:t xml:space="preserve"> and at the minimum and maximum values of reseller </w:t>
      </w:r>
      <w:r w:rsidR="0089722F" w:rsidRPr="00605672">
        <w:rPr>
          <w:szCs w:val="24"/>
        </w:rPr>
        <w:t>selection</w:t>
      </w:r>
      <w:r w:rsidR="008F353B" w:rsidRPr="00605672">
        <w:rPr>
          <w:szCs w:val="24"/>
        </w:rPr>
        <w:t xml:space="preserve"> efforts</w:t>
      </w:r>
      <w:r w:rsidR="00FB3B98" w:rsidRPr="00605672">
        <w:rPr>
          <w:szCs w:val="24"/>
        </w:rPr>
        <w:t xml:space="preserve"> (β</w:t>
      </w:r>
      <w:r w:rsidR="00FB3B98" w:rsidRPr="00605672">
        <w:rPr>
          <w:szCs w:val="24"/>
          <w:vertAlign w:val="subscript"/>
        </w:rPr>
        <w:t>Min</w:t>
      </w:r>
      <w:r w:rsidR="00FB3B98" w:rsidRPr="00605672">
        <w:rPr>
          <w:szCs w:val="24"/>
        </w:rPr>
        <w:t>, β</w:t>
      </w:r>
      <w:r w:rsidR="00FB3B98" w:rsidRPr="00605672">
        <w:rPr>
          <w:szCs w:val="24"/>
          <w:vertAlign w:val="subscript"/>
        </w:rPr>
        <w:t>Max</w:t>
      </w:r>
      <w:r w:rsidR="00FB3B98" w:rsidRPr="00605672">
        <w:rPr>
          <w:szCs w:val="24"/>
        </w:rPr>
        <w:t xml:space="preserve">) (Aiken and West 1991). </w:t>
      </w:r>
      <w:r w:rsidR="00265A3F" w:rsidRPr="00605672">
        <w:rPr>
          <w:szCs w:val="24"/>
        </w:rPr>
        <w:t xml:space="preserve">The slope plot is in Figure 2 (Panel A2). </w:t>
      </w:r>
      <w:r w:rsidRPr="00605672">
        <w:rPr>
          <w:szCs w:val="24"/>
        </w:rPr>
        <w:t xml:space="preserve">The </w:t>
      </w:r>
      <w:r w:rsidR="00265A3F" w:rsidRPr="00605672">
        <w:rPr>
          <w:szCs w:val="24"/>
        </w:rPr>
        <w:t>range</w:t>
      </w:r>
      <w:r w:rsidR="004928E2">
        <w:rPr>
          <w:szCs w:val="24"/>
        </w:rPr>
        <w:t xml:space="preserve"> of reseller selection efforts is (–5.57, 5.48)</w:t>
      </w:r>
      <w:r w:rsidR="00265A3F" w:rsidRPr="00605672">
        <w:rPr>
          <w:szCs w:val="24"/>
        </w:rPr>
        <w:t xml:space="preserve">, </w:t>
      </w:r>
      <w:r w:rsidR="004928E2">
        <w:rPr>
          <w:szCs w:val="24"/>
        </w:rPr>
        <w:t xml:space="preserve">the </w:t>
      </w:r>
      <w:r w:rsidR="00265A3F" w:rsidRPr="00605672">
        <w:rPr>
          <w:szCs w:val="24"/>
        </w:rPr>
        <w:t>mean</w:t>
      </w:r>
      <w:r w:rsidR="004928E2">
        <w:rPr>
          <w:szCs w:val="24"/>
        </w:rPr>
        <w:t xml:space="preserve"> is 0</w:t>
      </w:r>
      <w:r w:rsidR="00265A3F" w:rsidRPr="00605672">
        <w:rPr>
          <w:szCs w:val="24"/>
        </w:rPr>
        <w:t xml:space="preserve">, and </w:t>
      </w:r>
      <w:r w:rsidR="004928E2">
        <w:rPr>
          <w:szCs w:val="24"/>
        </w:rPr>
        <w:t>the standard deviation is 2.78. In P</w:t>
      </w:r>
      <w:r w:rsidR="00FB3B98" w:rsidRPr="00605672">
        <w:rPr>
          <w:szCs w:val="24"/>
        </w:rPr>
        <w:t>anel A</w:t>
      </w:r>
      <w:r w:rsidR="00265A3F" w:rsidRPr="00605672">
        <w:rPr>
          <w:szCs w:val="24"/>
        </w:rPr>
        <w:t>2</w:t>
      </w:r>
      <w:r w:rsidR="004928E2">
        <w:rPr>
          <w:szCs w:val="24"/>
        </w:rPr>
        <w:t xml:space="preserve"> of Figure 2</w:t>
      </w:r>
      <w:r w:rsidR="00FB3B98" w:rsidRPr="00605672">
        <w:rPr>
          <w:szCs w:val="24"/>
        </w:rPr>
        <w:t xml:space="preserve">, the positive effect of supplier incremental investments on </w:t>
      </w:r>
      <w:r w:rsidR="0070641F" w:rsidRPr="00605672">
        <w:rPr>
          <w:szCs w:val="24"/>
        </w:rPr>
        <w:t xml:space="preserve">supplier </w:t>
      </w:r>
      <w:r w:rsidR="00FB3B98" w:rsidRPr="00605672">
        <w:rPr>
          <w:szCs w:val="24"/>
        </w:rPr>
        <w:t xml:space="preserve">ex post transaction costs weakens monotonically over the range of the moderator. Supplier investments increase ex post transaction costs most when reseller </w:t>
      </w:r>
      <w:r w:rsidR="0089722F" w:rsidRPr="00605672">
        <w:rPr>
          <w:szCs w:val="24"/>
        </w:rPr>
        <w:t>selection</w:t>
      </w:r>
      <w:r w:rsidR="009A7282" w:rsidRPr="00605672">
        <w:rPr>
          <w:szCs w:val="24"/>
        </w:rPr>
        <w:t xml:space="preserve"> effort</w:t>
      </w:r>
      <w:r w:rsidR="00CC77DE" w:rsidRPr="00605672">
        <w:rPr>
          <w:szCs w:val="24"/>
        </w:rPr>
        <w:t xml:space="preserve">s are </w:t>
      </w:r>
      <w:r w:rsidR="00FB3B98" w:rsidRPr="00605672">
        <w:rPr>
          <w:szCs w:val="24"/>
        </w:rPr>
        <w:t xml:space="preserve">at </w:t>
      </w:r>
      <w:r w:rsidR="00CC77DE" w:rsidRPr="00605672">
        <w:rPr>
          <w:szCs w:val="24"/>
        </w:rPr>
        <w:t>their</w:t>
      </w:r>
      <w:r w:rsidR="00FB3B98" w:rsidRPr="00605672">
        <w:rPr>
          <w:szCs w:val="24"/>
        </w:rPr>
        <w:t xml:space="preserve"> lowest level (β</w:t>
      </w:r>
      <w:r w:rsidR="00FB3B98" w:rsidRPr="00605672">
        <w:rPr>
          <w:szCs w:val="24"/>
          <w:vertAlign w:val="subscript"/>
        </w:rPr>
        <w:t>Min</w:t>
      </w:r>
      <w:r w:rsidR="00FB3B98" w:rsidRPr="00605672">
        <w:rPr>
          <w:szCs w:val="24"/>
        </w:rPr>
        <w:t xml:space="preserve"> = </w:t>
      </w:r>
      <w:r w:rsidR="00FA6947" w:rsidRPr="00605672">
        <w:rPr>
          <w:szCs w:val="24"/>
        </w:rPr>
        <w:t>1</w:t>
      </w:r>
      <w:r w:rsidR="00FB3B98" w:rsidRPr="00605672">
        <w:rPr>
          <w:szCs w:val="24"/>
        </w:rPr>
        <w:t>.</w:t>
      </w:r>
      <w:r w:rsidR="008C1144" w:rsidRPr="00605672">
        <w:rPr>
          <w:szCs w:val="24"/>
        </w:rPr>
        <w:t>43</w:t>
      </w:r>
      <w:r w:rsidR="00FB3B98" w:rsidRPr="00605672">
        <w:rPr>
          <w:szCs w:val="24"/>
        </w:rPr>
        <w:t xml:space="preserve">, </w:t>
      </w:r>
      <w:r w:rsidR="00AA5B5D" w:rsidRPr="00727D37">
        <w:rPr>
          <w:i/>
          <w:szCs w:val="24"/>
        </w:rPr>
        <w:t>p</w:t>
      </w:r>
      <w:r w:rsidR="00FB3B98" w:rsidRPr="00605672">
        <w:rPr>
          <w:szCs w:val="24"/>
        </w:rPr>
        <w:t xml:space="preserve"> &lt;</w:t>
      </w:r>
      <w:r w:rsidR="004928E2">
        <w:rPr>
          <w:szCs w:val="24"/>
        </w:rPr>
        <w:t xml:space="preserve"> </w:t>
      </w:r>
      <w:r w:rsidR="00FB3B98" w:rsidRPr="00605672">
        <w:rPr>
          <w:szCs w:val="24"/>
        </w:rPr>
        <w:t xml:space="preserve">.01), but this positive effect becomes progressively weaker as reseller </w:t>
      </w:r>
      <w:r w:rsidR="0089722F" w:rsidRPr="00605672">
        <w:rPr>
          <w:szCs w:val="24"/>
        </w:rPr>
        <w:t>selection</w:t>
      </w:r>
      <w:r w:rsidR="00FB3B98" w:rsidRPr="00605672">
        <w:rPr>
          <w:szCs w:val="24"/>
        </w:rPr>
        <w:t xml:space="preserve"> efforts increase (β</w:t>
      </w:r>
      <w:r w:rsidR="00FB3B98" w:rsidRPr="00605672">
        <w:rPr>
          <w:szCs w:val="24"/>
          <w:vertAlign w:val="subscript"/>
        </w:rPr>
        <w:t>+1SD</w:t>
      </w:r>
      <w:r w:rsidR="004928E2">
        <w:rPr>
          <w:szCs w:val="24"/>
        </w:rPr>
        <w:t xml:space="preserve"> </w:t>
      </w:r>
      <w:r w:rsidR="00FB3B98" w:rsidRPr="00605672">
        <w:rPr>
          <w:szCs w:val="24"/>
        </w:rPr>
        <w:t xml:space="preserve">= </w:t>
      </w:r>
      <w:r w:rsidR="00FA6947" w:rsidRPr="00605672">
        <w:rPr>
          <w:szCs w:val="24"/>
        </w:rPr>
        <w:t>1</w:t>
      </w:r>
      <w:r w:rsidR="00FB3B98" w:rsidRPr="00605672">
        <w:rPr>
          <w:szCs w:val="24"/>
        </w:rPr>
        <w:t>.</w:t>
      </w:r>
      <w:r w:rsidR="008C1144" w:rsidRPr="00605672">
        <w:rPr>
          <w:szCs w:val="24"/>
        </w:rPr>
        <w:t xml:space="preserve">15, </w:t>
      </w:r>
      <w:r w:rsidR="00AA5B5D" w:rsidRPr="00727D37">
        <w:rPr>
          <w:i/>
          <w:szCs w:val="24"/>
        </w:rPr>
        <w:t>p</w:t>
      </w:r>
      <w:r w:rsidR="008C1144" w:rsidRPr="00605672">
        <w:rPr>
          <w:szCs w:val="24"/>
        </w:rPr>
        <w:t xml:space="preserve"> &lt;</w:t>
      </w:r>
      <w:r w:rsidR="004928E2">
        <w:rPr>
          <w:szCs w:val="24"/>
        </w:rPr>
        <w:t xml:space="preserve"> </w:t>
      </w:r>
      <w:r w:rsidR="008C1144" w:rsidRPr="00605672">
        <w:rPr>
          <w:szCs w:val="24"/>
        </w:rPr>
        <w:t>.05</w:t>
      </w:r>
      <w:r w:rsidR="00FB3B98" w:rsidRPr="00605672">
        <w:rPr>
          <w:szCs w:val="24"/>
        </w:rPr>
        <w:t xml:space="preserve">) and </w:t>
      </w:r>
      <w:r w:rsidR="004928E2">
        <w:rPr>
          <w:szCs w:val="24"/>
        </w:rPr>
        <w:t xml:space="preserve">even reaches </w:t>
      </w:r>
      <w:r w:rsidR="00FB3B98" w:rsidRPr="00605672">
        <w:rPr>
          <w:szCs w:val="24"/>
        </w:rPr>
        <w:t>complete insignifican</w:t>
      </w:r>
      <w:r w:rsidR="004928E2">
        <w:rPr>
          <w:szCs w:val="24"/>
        </w:rPr>
        <w:t>ce</w:t>
      </w:r>
      <w:r w:rsidR="00FB3B98" w:rsidRPr="00605672">
        <w:rPr>
          <w:szCs w:val="24"/>
        </w:rPr>
        <w:t xml:space="preserve"> at </w:t>
      </w:r>
      <w:r w:rsidR="004928E2">
        <w:rPr>
          <w:szCs w:val="24"/>
        </w:rPr>
        <w:t xml:space="preserve">a </w:t>
      </w:r>
      <w:r w:rsidR="00FB3B98" w:rsidRPr="00605672">
        <w:rPr>
          <w:szCs w:val="24"/>
        </w:rPr>
        <w:t>maximum value of the moderator (β</w:t>
      </w:r>
      <w:r w:rsidR="00FB3B98" w:rsidRPr="00605672">
        <w:rPr>
          <w:szCs w:val="24"/>
          <w:vertAlign w:val="subscript"/>
        </w:rPr>
        <w:t>Max</w:t>
      </w:r>
      <w:r w:rsidR="004928E2">
        <w:rPr>
          <w:szCs w:val="24"/>
        </w:rPr>
        <w:t xml:space="preserve"> </w:t>
      </w:r>
      <w:r w:rsidR="00FB3B98" w:rsidRPr="00605672">
        <w:rPr>
          <w:szCs w:val="24"/>
        </w:rPr>
        <w:t>= .</w:t>
      </w:r>
      <w:r w:rsidR="00FA6947" w:rsidRPr="00605672">
        <w:rPr>
          <w:szCs w:val="24"/>
        </w:rPr>
        <w:t>3</w:t>
      </w:r>
      <w:r w:rsidR="008C1144" w:rsidRPr="00605672">
        <w:rPr>
          <w:szCs w:val="24"/>
        </w:rPr>
        <w:t>2</w:t>
      </w:r>
      <w:r w:rsidR="00FB3B98" w:rsidRPr="00605672">
        <w:rPr>
          <w:szCs w:val="24"/>
        </w:rPr>
        <w:t xml:space="preserve">, </w:t>
      </w:r>
      <w:r w:rsidR="00AA5B5D" w:rsidRPr="00727D37">
        <w:rPr>
          <w:i/>
          <w:szCs w:val="24"/>
        </w:rPr>
        <w:t>p</w:t>
      </w:r>
      <w:r w:rsidR="00FB3B98" w:rsidRPr="00605672">
        <w:rPr>
          <w:szCs w:val="24"/>
        </w:rPr>
        <w:t xml:space="preserve"> &gt;</w:t>
      </w:r>
      <w:r w:rsidR="004928E2">
        <w:rPr>
          <w:szCs w:val="24"/>
        </w:rPr>
        <w:t xml:space="preserve"> </w:t>
      </w:r>
      <w:r w:rsidR="00FB3B98" w:rsidRPr="00605672">
        <w:rPr>
          <w:szCs w:val="24"/>
        </w:rPr>
        <w:t xml:space="preserve">.1). This pattern of </w:t>
      </w:r>
      <w:r w:rsidR="003D1A77" w:rsidRPr="00605672">
        <w:rPr>
          <w:szCs w:val="24"/>
        </w:rPr>
        <w:t>effects</w:t>
      </w:r>
      <w:r w:rsidR="007C1190" w:rsidRPr="00605672">
        <w:rPr>
          <w:szCs w:val="24"/>
        </w:rPr>
        <w:t xml:space="preserve"> </w:t>
      </w:r>
      <w:r w:rsidR="00584CB9" w:rsidRPr="00605672">
        <w:rPr>
          <w:szCs w:val="24"/>
        </w:rPr>
        <w:t xml:space="preserve">further </w:t>
      </w:r>
      <w:r w:rsidR="007C1190" w:rsidRPr="00605672">
        <w:rPr>
          <w:szCs w:val="24"/>
        </w:rPr>
        <w:t>supports H</w:t>
      </w:r>
      <w:r w:rsidR="00AA5B5D" w:rsidRPr="00727D37">
        <w:rPr>
          <w:szCs w:val="24"/>
          <w:vertAlign w:val="subscript"/>
        </w:rPr>
        <w:t>3a</w:t>
      </w:r>
      <w:r w:rsidR="003D1A77" w:rsidRPr="00605672">
        <w:rPr>
          <w:szCs w:val="24"/>
        </w:rPr>
        <w:t>.</w:t>
      </w:r>
      <w:r w:rsidR="006F126F" w:rsidRPr="00605672">
        <w:rPr>
          <w:szCs w:val="24"/>
        </w:rPr>
        <w:t xml:space="preserve"> </w:t>
      </w:r>
    </w:p>
    <w:p w14:paraId="7F29B1AD" w14:textId="3354C180" w:rsidR="00FB3B98" w:rsidRPr="00605672" w:rsidRDefault="004928E2" w:rsidP="00143A23">
      <w:pPr>
        <w:pStyle w:val="Bodytext"/>
        <w:jc w:val="left"/>
        <w:rPr>
          <w:szCs w:val="24"/>
        </w:rPr>
      </w:pPr>
      <w:r>
        <w:rPr>
          <w:szCs w:val="24"/>
        </w:rPr>
        <w:t xml:space="preserve">We also </w:t>
      </w:r>
      <w:r w:rsidR="006F126F" w:rsidRPr="00605672">
        <w:rPr>
          <w:szCs w:val="24"/>
        </w:rPr>
        <w:t>predict</w:t>
      </w:r>
      <w:r>
        <w:rPr>
          <w:szCs w:val="24"/>
        </w:rPr>
        <w:t>ed</w:t>
      </w:r>
      <w:r w:rsidR="006F126F" w:rsidRPr="00605672">
        <w:rPr>
          <w:szCs w:val="24"/>
        </w:rPr>
        <w:t xml:space="preserve"> a negative interaction </w:t>
      </w:r>
      <w:r>
        <w:rPr>
          <w:szCs w:val="24"/>
        </w:rPr>
        <w:t xml:space="preserve">effect </w:t>
      </w:r>
      <w:r w:rsidR="006F126F" w:rsidRPr="00605672">
        <w:rPr>
          <w:szCs w:val="24"/>
        </w:rPr>
        <w:t xml:space="preserve">between supplier incremental investments </w:t>
      </w:r>
      <w:r w:rsidR="00245EF4" w:rsidRPr="00605672">
        <w:rPr>
          <w:szCs w:val="24"/>
        </w:rPr>
        <w:t xml:space="preserve">(time 2) </w:t>
      </w:r>
      <w:r w:rsidR="006F126F" w:rsidRPr="00605672">
        <w:rPr>
          <w:szCs w:val="24"/>
        </w:rPr>
        <w:t xml:space="preserve">and </w:t>
      </w:r>
      <w:r w:rsidR="00245EF4" w:rsidRPr="00605672">
        <w:rPr>
          <w:szCs w:val="24"/>
        </w:rPr>
        <w:t xml:space="preserve">mutual asymmetric </w:t>
      </w:r>
      <w:r w:rsidR="006F126F" w:rsidRPr="00605672">
        <w:rPr>
          <w:szCs w:val="24"/>
        </w:rPr>
        <w:t xml:space="preserve">investments </w:t>
      </w:r>
      <w:r w:rsidR="00245EF4" w:rsidRPr="00605672">
        <w:rPr>
          <w:szCs w:val="24"/>
        </w:rPr>
        <w:t xml:space="preserve">(time 1) </w:t>
      </w:r>
      <w:r w:rsidR="006F126F" w:rsidRPr="00605672">
        <w:rPr>
          <w:szCs w:val="24"/>
        </w:rPr>
        <w:t xml:space="preserve">on </w:t>
      </w:r>
      <w:r w:rsidR="00132DA4" w:rsidRPr="00605672">
        <w:rPr>
          <w:szCs w:val="24"/>
        </w:rPr>
        <w:t xml:space="preserve">supplier </w:t>
      </w:r>
      <w:r w:rsidR="006F126F" w:rsidRPr="00605672">
        <w:rPr>
          <w:szCs w:val="24"/>
        </w:rPr>
        <w:t xml:space="preserve">ex post transaction costs. As </w:t>
      </w:r>
      <w:r>
        <w:rPr>
          <w:szCs w:val="24"/>
        </w:rPr>
        <w:t xml:space="preserve">we </w:t>
      </w:r>
      <w:r w:rsidR="006F126F" w:rsidRPr="00605672">
        <w:rPr>
          <w:szCs w:val="24"/>
        </w:rPr>
        <w:t xml:space="preserve">show in Table 2, </w:t>
      </w:r>
      <w:r>
        <w:rPr>
          <w:szCs w:val="24"/>
        </w:rPr>
        <w:t xml:space="preserve">the </w:t>
      </w:r>
      <w:r w:rsidR="006F126F" w:rsidRPr="00605672">
        <w:rPr>
          <w:szCs w:val="24"/>
        </w:rPr>
        <w:t xml:space="preserve">effect </w:t>
      </w:r>
      <w:r w:rsidR="008C1144" w:rsidRPr="00605672">
        <w:rPr>
          <w:szCs w:val="24"/>
        </w:rPr>
        <w:t>has a negative sign</w:t>
      </w:r>
      <w:r w:rsidR="00A65A03" w:rsidRPr="00605672">
        <w:rPr>
          <w:szCs w:val="24"/>
        </w:rPr>
        <w:t>,</w:t>
      </w:r>
      <w:r w:rsidR="008C1144" w:rsidRPr="00605672">
        <w:rPr>
          <w:szCs w:val="24"/>
        </w:rPr>
        <w:t xml:space="preserve"> as expected, </w:t>
      </w:r>
      <w:r>
        <w:rPr>
          <w:szCs w:val="24"/>
        </w:rPr>
        <w:t xml:space="preserve">but </w:t>
      </w:r>
      <w:r w:rsidR="008C1144" w:rsidRPr="00605672">
        <w:rPr>
          <w:szCs w:val="24"/>
        </w:rPr>
        <w:t xml:space="preserve">it </w:t>
      </w:r>
      <w:r w:rsidR="006F126F" w:rsidRPr="00605672">
        <w:rPr>
          <w:szCs w:val="24"/>
        </w:rPr>
        <w:t xml:space="preserve">is </w:t>
      </w:r>
      <w:r w:rsidR="008B7C9D" w:rsidRPr="00605672">
        <w:rPr>
          <w:szCs w:val="24"/>
        </w:rPr>
        <w:t>not s</w:t>
      </w:r>
      <w:r w:rsidR="006F126F" w:rsidRPr="00605672">
        <w:rPr>
          <w:szCs w:val="24"/>
        </w:rPr>
        <w:t>ignificant (H</w:t>
      </w:r>
      <w:r w:rsidR="00AA5B5D" w:rsidRPr="00727D37">
        <w:rPr>
          <w:szCs w:val="24"/>
          <w:vertAlign w:val="subscript"/>
        </w:rPr>
        <w:t>3b</w:t>
      </w:r>
      <w:r w:rsidR="006F126F" w:rsidRPr="00605672">
        <w:rPr>
          <w:szCs w:val="24"/>
        </w:rPr>
        <w:t xml:space="preserve"> β</w:t>
      </w:r>
      <w:r>
        <w:rPr>
          <w:szCs w:val="24"/>
        </w:rPr>
        <w:t xml:space="preserve"> </w:t>
      </w:r>
      <w:r w:rsidR="006F126F" w:rsidRPr="00605672">
        <w:rPr>
          <w:szCs w:val="24"/>
        </w:rPr>
        <w:t>=</w:t>
      </w:r>
      <w:r w:rsidR="008C1144" w:rsidRPr="00605672">
        <w:rPr>
          <w:szCs w:val="24"/>
        </w:rPr>
        <w:t xml:space="preserve"> </w:t>
      </w:r>
      <w:r>
        <w:rPr>
          <w:szCs w:val="24"/>
        </w:rPr>
        <w:t>–</w:t>
      </w:r>
      <w:r w:rsidR="006F126F" w:rsidRPr="00605672">
        <w:rPr>
          <w:szCs w:val="24"/>
        </w:rPr>
        <w:t>.0</w:t>
      </w:r>
      <w:r w:rsidR="00A36768" w:rsidRPr="00605672">
        <w:rPr>
          <w:szCs w:val="24"/>
        </w:rPr>
        <w:t>8</w:t>
      </w:r>
      <w:r w:rsidR="006F126F" w:rsidRPr="00605672">
        <w:rPr>
          <w:szCs w:val="24"/>
        </w:rPr>
        <w:t xml:space="preserve">, </w:t>
      </w:r>
      <w:r w:rsidR="00AA5B5D" w:rsidRPr="00727D37">
        <w:rPr>
          <w:i/>
          <w:szCs w:val="24"/>
        </w:rPr>
        <w:t>p</w:t>
      </w:r>
      <w:r w:rsidR="006F126F" w:rsidRPr="00605672">
        <w:rPr>
          <w:szCs w:val="24"/>
        </w:rPr>
        <w:t xml:space="preserve"> &gt;</w:t>
      </w:r>
      <w:r>
        <w:rPr>
          <w:szCs w:val="24"/>
        </w:rPr>
        <w:t xml:space="preserve"> </w:t>
      </w:r>
      <w:r w:rsidR="006F126F" w:rsidRPr="00605672">
        <w:rPr>
          <w:szCs w:val="24"/>
        </w:rPr>
        <w:t>.</w:t>
      </w:r>
      <w:r w:rsidR="001E14A6" w:rsidRPr="00605672">
        <w:rPr>
          <w:szCs w:val="24"/>
        </w:rPr>
        <w:t>10</w:t>
      </w:r>
      <w:r w:rsidR="006F126F" w:rsidRPr="00605672">
        <w:rPr>
          <w:szCs w:val="24"/>
        </w:rPr>
        <w:t>).</w:t>
      </w:r>
      <w:r w:rsidR="009D0C33" w:rsidRPr="00605672">
        <w:rPr>
          <w:szCs w:val="24"/>
        </w:rPr>
        <w:t xml:space="preserve"> We return to this </w:t>
      </w:r>
      <w:r>
        <w:rPr>
          <w:szCs w:val="24"/>
        </w:rPr>
        <w:t xml:space="preserve">finding </w:t>
      </w:r>
      <w:r w:rsidR="009D0C33" w:rsidRPr="00605672">
        <w:rPr>
          <w:szCs w:val="24"/>
        </w:rPr>
        <w:t>in the discussion section.</w:t>
      </w:r>
    </w:p>
    <w:p w14:paraId="7D9241FD" w14:textId="0C880FFD" w:rsidR="00722FE6" w:rsidRPr="00605672" w:rsidRDefault="004928E2" w:rsidP="00A65358">
      <w:pPr>
        <w:pStyle w:val="Bodytext"/>
        <w:jc w:val="left"/>
        <w:rPr>
          <w:szCs w:val="24"/>
        </w:rPr>
      </w:pPr>
      <w:r>
        <w:rPr>
          <w:szCs w:val="24"/>
        </w:rPr>
        <w:t xml:space="preserve">In </w:t>
      </w:r>
      <w:r w:rsidR="00FB3B98" w:rsidRPr="00605672">
        <w:rPr>
          <w:szCs w:val="24"/>
        </w:rPr>
        <w:t>H</w:t>
      </w:r>
      <w:r w:rsidR="00AA5B5D" w:rsidRPr="00727D37">
        <w:rPr>
          <w:szCs w:val="24"/>
          <w:vertAlign w:val="subscript"/>
        </w:rPr>
        <w:t>4</w:t>
      </w:r>
      <w:r>
        <w:rPr>
          <w:szCs w:val="24"/>
        </w:rPr>
        <w:t xml:space="preserve">, we posited </w:t>
      </w:r>
      <w:r w:rsidR="00FB3B98" w:rsidRPr="00605672">
        <w:rPr>
          <w:szCs w:val="24"/>
        </w:rPr>
        <w:t xml:space="preserve">that reseller </w:t>
      </w:r>
      <w:r w:rsidR="0089722F" w:rsidRPr="00605672">
        <w:rPr>
          <w:szCs w:val="24"/>
        </w:rPr>
        <w:t>selection</w:t>
      </w:r>
      <w:r w:rsidR="00FB3B98" w:rsidRPr="00605672">
        <w:rPr>
          <w:szCs w:val="24"/>
        </w:rPr>
        <w:t xml:space="preserve"> </w:t>
      </w:r>
      <w:r w:rsidR="009A7282" w:rsidRPr="00605672">
        <w:rPr>
          <w:szCs w:val="24"/>
        </w:rPr>
        <w:t>effort</w:t>
      </w:r>
      <w:r w:rsidR="00CC77DE" w:rsidRPr="00605672">
        <w:rPr>
          <w:szCs w:val="24"/>
        </w:rPr>
        <w:t>s</w:t>
      </w:r>
      <w:r w:rsidR="009A7282" w:rsidRPr="00605672">
        <w:rPr>
          <w:szCs w:val="24"/>
        </w:rPr>
        <w:t xml:space="preserve"> </w:t>
      </w:r>
      <w:r w:rsidR="00C516BB" w:rsidRPr="00605672">
        <w:rPr>
          <w:szCs w:val="24"/>
        </w:rPr>
        <w:t>(time 1)</w:t>
      </w:r>
      <w:r w:rsidR="00332FED" w:rsidRPr="00605672">
        <w:rPr>
          <w:szCs w:val="24"/>
        </w:rPr>
        <w:t xml:space="preserve">, in combination with </w:t>
      </w:r>
      <w:r w:rsidR="00C516BB" w:rsidRPr="00605672">
        <w:rPr>
          <w:szCs w:val="24"/>
        </w:rPr>
        <w:t xml:space="preserve">mutual asymmetric investments </w:t>
      </w:r>
      <w:r w:rsidR="00332FED" w:rsidRPr="00605672">
        <w:rPr>
          <w:szCs w:val="24"/>
        </w:rPr>
        <w:t xml:space="preserve">in the supplier’s favor </w:t>
      </w:r>
      <w:r w:rsidR="00C516BB" w:rsidRPr="00605672">
        <w:rPr>
          <w:szCs w:val="24"/>
        </w:rPr>
        <w:t>(time 1)</w:t>
      </w:r>
      <w:r w:rsidR="00332FED" w:rsidRPr="00605672">
        <w:rPr>
          <w:szCs w:val="24"/>
        </w:rPr>
        <w:t xml:space="preserve">, </w:t>
      </w:r>
      <w:r w:rsidR="00FB3B98" w:rsidRPr="00605672">
        <w:rPr>
          <w:szCs w:val="24"/>
        </w:rPr>
        <w:t xml:space="preserve">suppress </w:t>
      </w:r>
      <w:r w:rsidR="00132DA4" w:rsidRPr="00605672">
        <w:rPr>
          <w:szCs w:val="24"/>
        </w:rPr>
        <w:t xml:space="preserve">supplier </w:t>
      </w:r>
      <w:r w:rsidR="00FB3B98" w:rsidRPr="00605672">
        <w:rPr>
          <w:szCs w:val="24"/>
        </w:rPr>
        <w:t>ex post transaction costs resulting from supplier incremental investments</w:t>
      </w:r>
      <w:r w:rsidR="00C516BB" w:rsidRPr="00605672">
        <w:rPr>
          <w:szCs w:val="24"/>
        </w:rPr>
        <w:t xml:space="preserve"> (time 2)</w:t>
      </w:r>
      <w:r w:rsidR="00FB3B98" w:rsidRPr="00605672">
        <w:rPr>
          <w:szCs w:val="24"/>
        </w:rPr>
        <w:t xml:space="preserve">. </w:t>
      </w:r>
      <w:r>
        <w:rPr>
          <w:szCs w:val="24"/>
        </w:rPr>
        <w:t xml:space="preserve">We capture this </w:t>
      </w:r>
      <w:r w:rsidR="00FB3B98" w:rsidRPr="00605672">
        <w:rPr>
          <w:szCs w:val="24"/>
        </w:rPr>
        <w:t xml:space="preserve">effect by the three-way multiplicative term </w:t>
      </w:r>
      <w:r>
        <w:rPr>
          <w:szCs w:val="24"/>
        </w:rPr>
        <w:t xml:space="preserve">of </w:t>
      </w:r>
      <w:r w:rsidR="00FB3B98" w:rsidRPr="00605672">
        <w:rPr>
          <w:szCs w:val="24"/>
        </w:rPr>
        <w:t xml:space="preserve">supplier </w:t>
      </w:r>
      <w:r w:rsidR="00A652CE" w:rsidRPr="00605672">
        <w:rPr>
          <w:szCs w:val="24"/>
        </w:rPr>
        <w:t xml:space="preserve">incremental </w:t>
      </w:r>
      <w:r w:rsidR="00FB3B98" w:rsidRPr="00605672">
        <w:rPr>
          <w:szCs w:val="24"/>
        </w:rPr>
        <w:t>investments</w:t>
      </w:r>
      <w:r w:rsidR="002F4ACB" w:rsidRPr="00605672">
        <w:rPr>
          <w:szCs w:val="24"/>
        </w:rPr>
        <w:t xml:space="preserve"> (</w:t>
      </w:r>
      <w:r w:rsidR="00C01960" w:rsidRPr="00605672">
        <w:rPr>
          <w:szCs w:val="24"/>
        </w:rPr>
        <w:t>SINVT2</w:t>
      </w:r>
      <w:r w:rsidR="002F4ACB" w:rsidRPr="00605672">
        <w:rPr>
          <w:szCs w:val="24"/>
        </w:rPr>
        <w:t>)</w:t>
      </w:r>
      <w:r w:rsidR="00FB3B98" w:rsidRPr="00605672">
        <w:rPr>
          <w:szCs w:val="24"/>
        </w:rPr>
        <w:t xml:space="preserve">, </w:t>
      </w:r>
      <w:r w:rsidR="00245EF4" w:rsidRPr="00605672">
        <w:rPr>
          <w:szCs w:val="24"/>
        </w:rPr>
        <w:t xml:space="preserve">mutual asymmetric </w:t>
      </w:r>
      <w:r w:rsidR="00A652CE" w:rsidRPr="00605672">
        <w:rPr>
          <w:szCs w:val="24"/>
        </w:rPr>
        <w:t>investments</w:t>
      </w:r>
      <w:r w:rsidR="007368DF" w:rsidRPr="00605672">
        <w:rPr>
          <w:szCs w:val="24"/>
        </w:rPr>
        <w:t xml:space="preserve"> </w:t>
      </w:r>
      <w:r w:rsidR="002F4ACB" w:rsidRPr="00605672">
        <w:rPr>
          <w:szCs w:val="24"/>
        </w:rPr>
        <w:t>(INVDIFF)</w:t>
      </w:r>
      <w:r w:rsidR="00FA6947" w:rsidRPr="00605672">
        <w:rPr>
          <w:szCs w:val="24"/>
        </w:rPr>
        <w:t xml:space="preserve">, and reseller </w:t>
      </w:r>
      <w:r w:rsidR="0089722F" w:rsidRPr="00605672">
        <w:rPr>
          <w:szCs w:val="24"/>
        </w:rPr>
        <w:t>selection</w:t>
      </w:r>
      <w:r w:rsidR="009A7282" w:rsidRPr="00605672">
        <w:rPr>
          <w:szCs w:val="24"/>
        </w:rPr>
        <w:t xml:space="preserve"> effort</w:t>
      </w:r>
      <w:r w:rsidR="00CC77DE" w:rsidRPr="00605672">
        <w:rPr>
          <w:szCs w:val="24"/>
        </w:rPr>
        <w:t>s</w:t>
      </w:r>
      <w:r w:rsidR="002F4ACB" w:rsidRPr="00605672">
        <w:rPr>
          <w:szCs w:val="24"/>
        </w:rPr>
        <w:t xml:space="preserve"> (</w:t>
      </w:r>
      <w:r w:rsidR="003B7993" w:rsidRPr="00605672">
        <w:rPr>
          <w:szCs w:val="24"/>
        </w:rPr>
        <w:t>SSEL</w:t>
      </w:r>
      <w:r w:rsidR="002F4ACB" w:rsidRPr="00605672">
        <w:rPr>
          <w:szCs w:val="24"/>
        </w:rPr>
        <w:t>T1)</w:t>
      </w:r>
      <w:r w:rsidR="00FA6947" w:rsidRPr="00605672">
        <w:rPr>
          <w:szCs w:val="24"/>
        </w:rPr>
        <w:t xml:space="preserve"> </w:t>
      </w:r>
      <w:r w:rsidR="00FB3B98" w:rsidRPr="00605672">
        <w:rPr>
          <w:szCs w:val="24"/>
        </w:rPr>
        <w:t xml:space="preserve">in Table </w:t>
      </w:r>
      <w:r w:rsidR="00CC5859" w:rsidRPr="00605672">
        <w:rPr>
          <w:szCs w:val="24"/>
        </w:rPr>
        <w:t>2</w:t>
      </w:r>
      <w:r>
        <w:rPr>
          <w:szCs w:val="24"/>
        </w:rPr>
        <w:t xml:space="preserve">; it </w:t>
      </w:r>
      <w:r w:rsidR="00FB3B98" w:rsidRPr="00605672">
        <w:rPr>
          <w:szCs w:val="24"/>
        </w:rPr>
        <w:t>is significant and negative (β</w:t>
      </w:r>
      <w:r>
        <w:rPr>
          <w:szCs w:val="24"/>
        </w:rPr>
        <w:t xml:space="preserve"> </w:t>
      </w:r>
      <w:r w:rsidR="00FB3B98" w:rsidRPr="00605672">
        <w:rPr>
          <w:szCs w:val="24"/>
        </w:rPr>
        <w:t xml:space="preserve">= </w:t>
      </w:r>
      <w:r>
        <w:rPr>
          <w:szCs w:val="24"/>
        </w:rPr>
        <w:t>–</w:t>
      </w:r>
      <w:r w:rsidR="00FB3B98" w:rsidRPr="00605672">
        <w:rPr>
          <w:szCs w:val="24"/>
        </w:rPr>
        <w:t>.</w:t>
      </w:r>
      <w:r w:rsidR="00A652CE" w:rsidRPr="00605672">
        <w:rPr>
          <w:szCs w:val="24"/>
        </w:rPr>
        <w:t>1</w:t>
      </w:r>
      <w:r w:rsidR="00A36768" w:rsidRPr="00605672">
        <w:rPr>
          <w:szCs w:val="24"/>
        </w:rPr>
        <w:t>3</w:t>
      </w:r>
      <w:r w:rsidR="00FB3B98" w:rsidRPr="00605672">
        <w:rPr>
          <w:szCs w:val="24"/>
        </w:rPr>
        <w:t xml:space="preserve">, </w:t>
      </w:r>
      <w:r w:rsidR="00AA5B5D" w:rsidRPr="00727D37">
        <w:rPr>
          <w:i/>
          <w:szCs w:val="24"/>
        </w:rPr>
        <w:t>p</w:t>
      </w:r>
      <w:r w:rsidR="00FB3B98" w:rsidRPr="00605672">
        <w:rPr>
          <w:szCs w:val="24"/>
        </w:rPr>
        <w:t xml:space="preserve"> &lt;</w:t>
      </w:r>
      <w:r>
        <w:rPr>
          <w:szCs w:val="24"/>
        </w:rPr>
        <w:t xml:space="preserve"> </w:t>
      </w:r>
      <w:r w:rsidR="00FB3B98" w:rsidRPr="00605672">
        <w:rPr>
          <w:szCs w:val="24"/>
        </w:rPr>
        <w:t>.0</w:t>
      </w:r>
      <w:r w:rsidR="00A36768" w:rsidRPr="00605672">
        <w:rPr>
          <w:szCs w:val="24"/>
        </w:rPr>
        <w:t>5</w:t>
      </w:r>
      <w:r w:rsidR="00FB3B98" w:rsidRPr="00605672">
        <w:rPr>
          <w:szCs w:val="24"/>
        </w:rPr>
        <w:t>)</w:t>
      </w:r>
      <w:r w:rsidR="00A652CE" w:rsidRPr="00605672">
        <w:rPr>
          <w:szCs w:val="24"/>
        </w:rPr>
        <w:t>, consistent with our prediction.</w:t>
      </w:r>
      <w:r w:rsidR="00FB3B98" w:rsidRPr="00605672">
        <w:rPr>
          <w:szCs w:val="24"/>
        </w:rPr>
        <w:t xml:space="preserve"> </w:t>
      </w:r>
      <w:r>
        <w:rPr>
          <w:szCs w:val="24"/>
        </w:rPr>
        <w:t xml:space="preserve">In addition, we </w:t>
      </w:r>
      <w:r w:rsidR="0053768C" w:rsidRPr="00605672">
        <w:rPr>
          <w:szCs w:val="24"/>
        </w:rPr>
        <w:t xml:space="preserve">plot </w:t>
      </w:r>
      <w:r w:rsidR="00516F47" w:rsidRPr="00605672">
        <w:rPr>
          <w:szCs w:val="24"/>
        </w:rPr>
        <w:t xml:space="preserve">the </w:t>
      </w:r>
      <w:r>
        <w:rPr>
          <w:szCs w:val="24"/>
        </w:rPr>
        <w:t>three</w:t>
      </w:r>
      <w:r w:rsidR="0053768C" w:rsidRPr="00605672">
        <w:rPr>
          <w:szCs w:val="24"/>
        </w:rPr>
        <w:t xml:space="preserve">-way interaction </w:t>
      </w:r>
      <w:r w:rsidR="00516F47" w:rsidRPr="00605672">
        <w:rPr>
          <w:szCs w:val="24"/>
        </w:rPr>
        <w:t xml:space="preserve">on </w:t>
      </w:r>
      <w:r w:rsidR="0053768C" w:rsidRPr="00605672">
        <w:rPr>
          <w:szCs w:val="24"/>
        </w:rPr>
        <w:t>a</w:t>
      </w:r>
      <w:r w:rsidR="00CB2B56" w:rsidRPr="00605672">
        <w:rPr>
          <w:szCs w:val="24"/>
        </w:rPr>
        <w:t xml:space="preserve"> surface </w:t>
      </w:r>
      <w:r w:rsidR="0053768C" w:rsidRPr="00605672">
        <w:rPr>
          <w:szCs w:val="24"/>
        </w:rPr>
        <w:t xml:space="preserve">enveloped by </w:t>
      </w:r>
      <w:r w:rsidR="00C20625" w:rsidRPr="00605672">
        <w:rPr>
          <w:szCs w:val="24"/>
        </w:rPr>
        <w:t xml:space="preserve">the </w:t>
      </w:r>
      <w:r w:rsidR="00830BFA" w:rsidRPr="00605672">
        <w:rPr>
          <w:szCs w:val="24"/>
        </w:rPr>
        <w:t>three-dimensional</w:t>
      </w:r>
      <w:r w:rsidR="00C20625" w:rsidRPr="00605672">
        <w:rPr>
          <w:szCs w:val="24"/>
        </w:rPr>
        <w:t xml:space="preserve"> axes</w:t>
      </w:r>
      <w:r w:rsidR="0053768C" w:rsidRPr="00605672">
        <w:rPr>
          <w:szCs w:val="24"/>
        </w:rPr>
        <w:t xml:space="preserve"> in Figure 2 (Panel B1)</w:t>
      </w:r>
      <w:r>
        <w:rPr>
          <w:szCs w:val="24"/>
        </w:rPr>
        <w:t>, namely,</w:t>
      </w:r>
      <w:r w:rsidR="0053768C" w:rsidRPr="00605672">
        <w:rPr>
          <w:szCs w:val="24"/>
        </w:rPr>
        <w:t xml:space="preserve"> the</w:t>
      </w:r>
      <w:r w:rsidR="00CB2B56" w:rsidRPr="00605672">
        <w:rPr>
          <w:szCs w:val="24"/>
        </w:rPr>
        <w:t xml:space="preserve"> effect (slope) of supplier incremental investments on </w:t>
      </w:r>
      <w:r w:rsidR="00392A93" w:rsidRPr="00605672">
        <w:rPr>
          <w:szCs w:val="24"/>
        </w:rPr>
        <w:t xml:space="preserve">supplier ex post </w:t>
      </w:r>
      <w:r w:rsidR="0053768C" w:rsidRPr="00605672">
        <w:rPr>
          <w:szCs w:val="24"/>
        </w:rPr>
        <w:t xml:space="preserve">transaction </w:t>
      </w:r>
      <w:r w:rsidR="00CB2B56" w:rsidRPr="00605672">
        <w:rPr>
          <w:szCs w:val="24"/>
        </w:rPr>
        <w:t>costs</w:t>
      </w:r>
      <w:r w:rsidR="0053768C" w:rsidRPr="00605672">
        <w:rPr>
          <w:szCs w:val="24"/>
        </w:rPr>
        <w:t xml:space="preserve"> (vertical or Y-axis), </w:t>
      </w:r>
      <w:r w:rsidR="00245EF4" w:rsidRPr="00605672">
        <w:rPr>
          <w:szCs w:val="24"/>
        </w:rPr>
        <w:t xml:space="preserve">mutual asymmetric </w:t>
      </w:r>
      <w:r w:rsidR="00FD23C2" w:rsidRPr="00605672">
        <w:rPr>
          <w:szCs w:val="24"/>
        </w:rPr>
        <w:t xml:space="preserve">investments </w:t>
      </w:r>
      <w:r w:rsidR="0053768C" w:rsidRPr="00605672">
        <w:rPr>
          <w:szCs w:val="24"/>
        </w:rPr>
        <w:t xml:space="preserve">(depth or </w:t>
      </w:r>
      <w:r w:rsidR="0090710E" w:rsidRPr="00605672">
        <w:rPr>
          <w:szCs w:val="24"/>
        </w:rPr>
        <w:t>Z</w:t>
      </w:r>
      <w:r w:rsidR="0053768C" w:rsidRPr="00605672">
        <w:rPr>
          <w:szCs w:val="24"/>
        </w:rPr>
        <w:t>-axis)</w:t>
      </w:r>
      <w:r>
        <w:rPr>
          <w:szCs w:val="24"/>
        </w:rPr>
        <w:t>,</w:t>
      </w:r>
      <w:r w:rsidR="0053768C" w:rsidRPr="00605672">
        <w:rPr>
          <w:szCs w:val="24"/>
        </w:rPr>
        <w:t xml:space="preserve"> and reseller </w:t>
      </w:r>
      <w:r w:rsidR="0089722F" w:rsidRPr="00605672">
        <w:rPr>
          <w:szCs w:val="24"/>
        </w:rPr>
        <w:t>selection</w:t>
      </w:r>
      <w:r w:rsidR="0053768C" w:rsidRPr="00605672">
        <w:rPr>
          <w:szCs w:val="24"/>
        </w:rPr>
        <w:t xml:space="preserve"> </w:t>
      </w:r>
      <w:r w:rsidR="009A7282" w:rsidRPr="00605672">
        <w:rPr>
          <w:szCs w:val="24"/>
        </w:rPr>
        <w:t>effort</w:t>
      </w:r>
      <w:r w:rsidR="00392A93" w:rsidRPr="00605672">
        <w:rPr>
          <w:szCs w:val="24"/>
        </w:rPr>
        <w:t>s</w:t>
      </w:r>
      <w:r w:rsidR="009A7282" w:rsidRPr="00605672">
        <w:rPr>
          <w:szCs w:val="24"/>
        </w:rPr>
        <w:t xml:space="preserve"> </w:t>
      </w:r>
      <w:r w:rsidR="0053768C" w:rsidRPr="00605672">
        <w:rPr>
          <w:szCs w:val="24"/>
        </w:rPr>
        <w:t xml:space="preserve">(width or </w:t>
      </w:r>
      <w:r w:rsidR="0090710E" w:rsidRPr="00605672">
        <w:rPr>
          <w:szCs w:val="24"/>
        </w:rPr>
        <w:t>X</w:t>
      </w:r>
      <w:r w:rsidR="0053768C" w:rsidRPr="00605672">
        <w:rPr>
          <w:szCs w:val="24"/>
        </w:rPr>
        <w:t>-axis).</w:t>
      </w:r>
      <w:r w:rsidR="00DF584D" w:rsidRPr="00605672">
        <w:rPr>
          <w:szCs w:val="24"/>
        </w:rPr>
        <w:t xml:space="preserve"> </w:t>
      </w:r>
      <w:r>
        <w:rPr>
          <w:szCs w:val="24"/>
        </w:rPr>
        <w:t xml:space="preserve">In </w:t>
      </w:r>
      <w:r w:rsidR="00A65358" w:rsidRPr="00605672">
        <w:rPr>
          <w:szCs w:val="24"/>
        </w:rPr>
        <w:t xml:space="preserve">Panel </w:t>
      </w:r>
      <w:r w:rsidR="00516F47" w:rsidRPr="00605672">
        <w:rPr>
          <w:szCs w:val="24"/>
        </w:rPr>
        <w:t>B1</w:t>
      </w:r>
      <w:r w:rsidR="00A65358" w:rsidRPr="00605672">
        <w:rPr>
          <w:szCs w:val="24"/>
        </w:rPr>
        <w:t xml:space="preserve">, for a given level of </w:t>
      </w:r>
      <w:r w:rsidR="00245EF4" w:rsidRPr="00605672">
        <w:rPr>
          <w:szCs w:val="24"/>
        </w:rPr>
        <w:t xml:space="preserve">mutual asymmetric </w:t>
      </w:r>
      <w:r w:rsidR="00FD23C2" w:rsidRPr="00605672">
        <w:rPr>
          <w:szCs w:val="24"/>
        </w:rPr>
        <w:t xml:space="preserve">investments </w:t>
      </w:r>
      <w:r w:rsidR="00A65358" w:rsidRPr="00605672">
        <w:rPr>
          <w:szCs w:val="24"/>
        </w:rPr>
        <w:t>(</w:t>
      </w:r>
      <w:r>
        <w:rPr>
          <w:szCs w:val="24"/>
        </w:rPr>
        <w:t>e.g.</w:t>
      </w:r>
      <w:r w:rsidR="00A65358" w:rsidRPr="00605672">
        <w:rPr>
          <w:szCs w:val="24"/>
        </w:rPr>
        <w:t xml:space="preserve">, </w:t>
      </w:r>
      <w:r w:rsidR="00A65358" w:rsidRPr="00605672">
        <w:rPr>
          <w:szCs w:val="24"/>
        </w:rPr>
        <w:lastRenderedPageBreak/>
        <w:t>fixing INVDIFF</w:t>
      </w:r>
      <w:r w:rsidR="00245EF4" w:rsidRPr="00605672">
        <w:rPr>
          <w:szCs w:val="24"/>
        </w:rPr>
        <w:t xml:space="preserve"> </w:t>
      </w:r>
      <w:r w:rsidR="00A65358" w:rsidRPr="00605672">
        <w:rPr>
          <w:szCs w:val="24"/>
        </w:rPr>
        <w:t xml:space="preserve">to 2 units), the slope </w:t>
      </w:r>
      <w:r w:rsidR="002E69CD">
        <w:rPr>
          <w:szCs w:val="24"/>
        </w:rPr>
        <w:t xml:space="preserve">reflecting the effect </w:t>
      </w:r>
      <w:r w:rsidR="00A65358" w:rsidRPr="00605672">
        <w:rPr>
          <w:szCs w:val="24"/>
        </w:rPr>
        <w:t xml:space="preserve">of </w:t>
      </w:r>
      <w:r>
        <w:rPr>
          <w:szCs w:val="24"/>
        </w:rPr>
        <w:t xml:space="preserve">the </w:t>
      </w:r>
      <w:r w:rsidR="00A65358" w:rsidRPr="00605672">
        <w:rPr>
          <w:szCs w:val="24"/>
        </w:rPr>
        <w:t>incremental invest</w:t>
      </w:r>
      <w:r w:rsidR="00635596" w:rsidRPr="00605672">
        <w:rPr>
          <w:szCs w:val="24"/>
        </w:rPr>
        <w:t>ments</w:t>
      </w:r>
      <w:r w:rsidR="00A65358" w:rsidRPr="00605672">
        <w:rPr>
          <w:szCs w:val="24"/>
        </w:rPr>
        <w:t xml:space="preserve"> on </w:t>
      </w:r>
      <w:r w:rsidR="00392A93" w:rsidRPr="00605672">
        <w:rPr>
          <w:szCs w:val="24"/>
        </w:rPr>
        <w:t xml:space="preserve">ex post </w:t>
      </w:r>
      <w:r w:rsidR="00A65358" w:rsidRPr="00605672">
        <w:rPr>
          <w:szCs w:val="24"/>
        </w:rPr>
        <w:t xml:space="preserve">transaction costs is highest (most positive) when reseller </w:t>
      </w:r>
      <w:r w:rsidR="0089722F" w:rsidRPr="00605672">
        <w:rPr>
          <w:szCs w:val="24"/>
        </w:rPr>
        <w:t>selection</w:t>
      </w:r>
      <w:r w:rsidR="00A65358" w:rsidRPr="00605672">
        <w:rPr>
          <w:szCs w:val="24"/>
        </w:rPr>
        <w:t xml:space="preserve"> </w:t>
      </w:r>
      <w:r w:rsidR="009A7282" w:rsidRPr="00605672">
        <w:rPr>
          <w:szCs w:val="24"/>
        </w:rPr>
        <w:t>effort</w:t>
      </w:r>
      <w:r w:rsidR="00CC77DE" w:rsidRPr="00605672">
        <w:rPr>
          <w:szCs w:val="24"/>
        </w:rPr>
        <w:t xml:space="preserve">s are </w:t>
      </w:r>
      <w:r w:rsidR="00A65358" w:rsidRPr="00605672">
        <w:rPr>
          <w:szCs w:val="24"/>
        </w:rPr>
        <w:t xml:space="preserve">at </w:t>
      </w:r>
      <w:r w:rsidR="00CC77DE" w:rsidRPr="00605672">
        <w:rPr>
          <w:szCs w:val="24"/>
        </w:rPr>
        <w:t>their</w:t>
      </w:r>
      <w:r w:rsidR="00A65358" w:rsidRPr="00605672">
        <w:rPr>
          <w:szCs w:val="24"/>
        </w:rPr>
        <w:t xml:space="preserve"> lowest level (i.e., </w:t>
      </w:r>
      <w:r w:rsidR="003B7993" w:rsidRPr="00605672">
        <w:rPr>
          <w:szCs w:val="24"/>
        </w:rPr>
        <w:t>SSEL</w:t>
      </w:r>
      <w:r w:rsidR="00A65358" w:rsidRPr="00605672">
        <w:rPr>
          <w:szCs w:val="24"/>
        </w:rPr>
        <w:t xml:space="preserve">T1 </w:t>
      </w:r>
      <w:r>
        <w:rPr>
          <w:szCs w:val="24"/>
        </w:rPr>
        <w:t>= –</w:t>
      </w:r>
      <w:r w:rsidR="00A65358" w:rsidRPr="00605672">
        <w:rPr>
          <w:szCs w:val="24"/>
        </w:rPr>
        <w:t>5.5 unit</w:t>
      </w:r>
      <w:r w:rsidR="00645B15" w:rsidRPr="00605672">
        <w:rPr>
          <w:szCs w:val="24"/>
        </w:rPr>
        <w:t>s)</w:t>
      </w:r>
      <w:r>
        <w:rPr>
          <w:szCs w:val="24"/>
        </w:rPr>
        <w:t xml:space="preserve">, depicted in </w:t>
      </w:r>
      <w:r w:rsidR="00645B15" w:rsidRPr="00605672">
        <w:rPr>
          <w:szCs w:val="24"/>
        </w:rPr>
        <w:t xml:space="preserve">gray </w:t>
      </w:r>
      <w:r>
        <w:rPr>
          <w:szCs w:val="24"/>
        </w:rPr>
        <w:t xml:space="preserve">at the </w:t>
      </w:r>
      <w:r w:rsidR="00EC4AF9" w:rsidRPr="00605672">
        <w:rPr>
          <w:szCs w:val="24"/>
        </w:rPr>
        <w:t xml:space="preserve">center-top </w:t>
      </w:r>
      <w:r w:rsidR="00A65358" w:rsidRPr="00605672">
        <w:rPr>
          <w:szCs w:val="24"/>
        </w:rPr>
        <w:t>of the surface. Conversely, keeping INVDIFF fixed</w:t>
      </w:r>
      <w:r w:rsidR="00C029C3" w:rsidRPr="00605672">
        <w:rPr>
          <w:szCs w:val="24"/>
        </w:rPr>
        <w:t xml:space="preserve"> at the same level of 2 units</w:t>
      </w:r>
      <w:r w:rsidR="00A65358" w:rsidRPr="00605672">
        <w:rPr>
          <w:szCs w:val="24"/>
        </w:rPr>
        <w:t xml:space="preserve">, </w:t>
      </w:r>
      <w:r>
        <w:rPr>
          <w:szCs w:val="24"/>
        </w:rPr>
        <w:t xml:space="preserve">we find that </w:t>
      </w:r>
      <w:r w:rsidR="00A65358" w:rsidRPr="00605672">
        <w:rPr>
          <w:szCs w:val="24"/>
        </w:rPr>
        <w:t xml:space="preserve">the slope of incremental investments on </w:t>
      </w:r>
      <w:r w:rsidR="00392A93" w:rsidRPr="00605672">
        <w:rPr>
          <w:szCs w:val="24"/>
        </w:rPr>
        <w:t xml:space="preserve">ex post transaction </w:t>
      </w:r>
      <w:r w:rsidR="00A65358" w:rsidRPr="00605672">
        <w:rPr>
          <w:szCs w:val="24"/>
        </w:rPr>
        <w:t xml:space="preserve">costs is lowest (most negative) when reseller </w:t>
      </w:r>
      <w:r w:rsidR="0089722F" w:rsidRPr="00605672">
        <w:rPr>
          <w:szCs w:val="24"/>
        </w:rPr>
        <w:t>selection</w:t>
      </w:r>
      <w:r w:rsidR="00A65358" w:rsidRPr="00605672">
        <w:rPr>
          <w:szCs w:val="24"/>
        </w:rPr>
        <w:t xml:space="preserve"> </w:t>
      </w:r>
      <w:r w:rsidR="009A7282" w:rsidRPr="00605672">
        <w:rPr>
          <w:szCs w:val="24"/>
        </w:rPr>
        <w:t>effort</w:t>
      </w:r>
      <w:r w:rsidR="00CC77DE" w:rsidRPr="00605672">
        <w:rPr>
          <w:szCs w:val="24"/>
        </w:rPr>
        <w:t>s are</w:t>
      </w:r>
      <w:r w:rsidR="00A65358" w:rsidRPr="00605672">
        <w:rPr>
          <w:szCs w:val="24"/>
        </w:rPr>
        <w:t xml:space="preserve"> at </w:t>
      </w:r>
      <w:r w:rsidR="00CC77DE" w:rsidRPr="00605672">
        <w:rPr>
          <w:szCs w:val="24"/>
        </w:rPr>
        <w:t>their</w:t>
      </w:r>
      <w:r w:rsidR="00A65358" w:rsidRPr="00605672">
        <w:rPr>
          <w:szCs w:val="24"/>
        </w:rPr>
        <w:t xml:space="preserve"> highest depicted level (</w:t>
      </w:r>
      <w:r w:rsidR="003B7993" w:rsidRPr="00605672">
        <w:rPr>
          <w:szCs w:val="24"/>
        </w:rPr>
        <w:t>SSEL</w:t>
      </w:r>
      <w:r w:rsidR="00A65358" w:rsidRPr="00605672">
        <w:rPr>
          <w:szCs w:val="24"/>
        </w:rPr>
        <w:t xml:space="preserve">T1 </w:t>
      </w:r>
      <w:r w:rsidR="002E69CD">
        <w:rPr>
          <w:szCs w:val="24"/>
        </w:rPr>
        <w:t xml:space="preserve">= </w:t>
      </w:r>
      <w:r w:rsidR="00A65358" w:rsidRPr="00605672">
        <w:rPr>
          <w:szCs w:val="24"/>
        </w:rPr>
        <w:t>5.5 units)</w:t>
      </w:r>
      <w:r w:rsidR="002E69CD">
        <w:rPr>
          <w:szCs w:val="24"/>
        </w:rPr>
        <w:t xml:space="preserve">, </w:t>
      </w:r>
      <w:r w:rsidR="00C029C3" w:rsidRPr="00605672">
        <w:rPr>
          <w:szCs w:val="24"/>
        </w:rPr>
        <w:t xml:space="preserve">depicted in </w:t>
      </w:r>
      <w:r w:rsidR="00C731A1" w:rsidRPr="00605672">
        <w:rPr>
          <w:szCs w:val="24"/>
        </w:rPr>
        <w:t xml:space="preserve">dark </w:t>
      </w:r>
      <w:r w:rsidR="00C029C3" w:rsidRPr="00605672">
        <w:rPr>
          <w:szCs w:val="24"/>
        </w:rPr>
        <w:t>blue on the bottom-right of the surface. Overall, t</w:t>
      </w:r>
      <w:r w:rsidR="000900CF" w:rsidRPr="00605672">
        <w:rPr>
          <w:szCs w:val="24"/>
        </w:rPr>
        <w:t xml:space="preserve">his surface visually </w:t>
      </w:r>
      <w:r w:rsidR="002E69CD">
        <w:rPr>
          <w:szCs w:val="24"/>
        </w:rPr>
        <w:t xml:space="preserve">reveals </w:t>
      </w:r>
      <w:r w:rsidR="000900CF" w:rsidRPr="00605672">
        <w:rPr>
          <w:szCs w:val="24"/>
        </w:rPr>
        <w:t>how</w:t>
      </w:r>
      <w:r w:rsidR="00A65358" w:rsidRPr="00605672">
        <w:rPr>
          <w:szCs w:val="24"/>
        </w:rPr>
        <w:t xml:space="preserve"> </w:t>
      </w:r>
      <w:r w:rsidR="00245EF4" w:rsidRPr="00605672">
        <w:rPr>
          <w:szCs w:val="24"/>
        </w:rPr>
        <w:t>mutual</w:t>
      </w:r>
      <w:r w:rsidR="002E69CD">
        <w:rPr>
          <w:szCs w:val="24"/>
        </w:rPr>
        <w:t>,</w:t>
      </w:r>
      <w:r w:rsidR="00245EF4" w:rsidRPr="00605672">
        <w:rPr>
          <w:szCs w:val="24"/>
        </w:rPr>
        <w:t xml:space="preserve"> asymmetric </w:t>
      </w:r>
      <w:r w:rsidR="000D3B6C" w:rsidRPr="00605672">
        <w:rPr>
          <w:szCs w:val="24"/>
        </w:rPr>
        <w:t xml:space="preserve">investments </w:t>
      </w:r>
      <w:r w:rsidR="00C029C3" w:rsidRPr="00605672">
        <w:rPr>
          <w:szCs w:val="24"/>
        </w:rPr>
        <w:t xml:space="preserve">and reseller </w:t>
      </w:r>
      <w:r w:rsidR="0089722F" w:rsidRPr="00605672">
        <w:rPr>
          <w:szCs w:val="24"/>
        </w:rPr>
        <w:t>selection</w:t>
      </w:r>
      <w:r w:rsidR="00C029C3" w:rsidRPr="00605672">
        <w:rPr>
          <w:szCs w:val="24"/>
        </w:rPr>
        <w:t xml:space="preserve"> </w:t>
      </w:r>
      <w:r w:rsidR="009A7282" w:rsidRPr="00605672">
        <w:rPr>
          <w:szCs w:val="24"/>
        </w:rPr>
        <w:t>effort</w:t>
      </w:r>
      <w:r w:rsidR="00CC77DE" w:rsidRPr="00605672">
        <w:rPr>
          <w:szCs w:val="24"/>
        </w:rPr>
        <w:t>s</w:t>
      </w:r>
      <w:r w:rsidR="009A7282" w:rsidRPr="00605672">
        <w:rPr>
          <w:szCs w:val="24"/>
        </w:rPr>
        <w:t xml:space="preserve"> </w:t>
      </w:r>
      <w:r w:rsidR="00A65358" w:rsidRPr="00605672">
        <w:rPr>
          <w:szCs w:val="24"/>
        </w:rPr>
        <w:t xml:space="preserve">jointly </w:t>
      </w:r>
      <w:r w:rsidR="00C029C3" w:rsidRPr="00605672">
        <w:rPr>
          <w:szCs w:val="24"/>
        </w:rPr>
        <w:t xml:space="preserve">reduce the positive effect of </w:t>
      </w:r>
      <w:r w:rsidR="00A65358" w:rsidRPr="00605672">
        <w:rPr>
          <w:szCs w:val="24"/>
        </w:rPr>
        <w:t>supplier</w:t>
      </w:r>
      <w:r w:rsidR="00C029C3" w:rsidRPr="00605672">
        <w:rPr>
          <w:szCs w:val="24"/>
        </w:rPr>
        <w:t xml:space="preserve"> incremental investments on</w:t>
      </w:r>
      <w:r w:rsidR="00A65358" w:rsidRPr="00605672">
        <w:rPr>
          <w:szCs w:val="24"/>
        </w:rPr>
        <w:t xml:space="preserve"> </w:t>
      </w:r>
      <w:r w:rsidR="00392A93" w:rsidRPr="00605672">
        <w:rPr>
          <w:szCs w:val="24"/>
        </w:rPr>
        <w:t xml:space="preserve">supplier ex post transaction </w:t>
      </w:r>
      <w:r w:rsidR="00A65358" w:rsidRPr="00605672">
        <w:rPr>
          <w:szCs w:val="24"/>
        </w:rPr>
        <w:t>costs</w:t>
      </w:r>
      <w:r w:rsidR="002E69CD">
        <w:rPr>
          <w:szCs w:val="24"/>
        </w:rPr>
        <w:t xml:space="preserve">, as we predicted in </w:t>
      </w:r>
      <w:r w:rsidR="00A65358" w:rsidRPr="00605672">
        <w:rPr>
          <w:szCs w:val="24"/>
        </w:rPr>
        <w:t>H</w:t>
      </w:r>
      <w:r w:rsidR="00AA5B5D" w:rsidRPr="00727D37">
        <w:rPr>
          <w:szCs w:val="24"/>
          <w:vertAlign w:val="subscript"/>
        </w:rPr>
        <w:t>4</w:t>
      </w:r>
      <w:r w:rsidR="00A65358" w:rsidRPr="00605672">
        <w:rPr>
          <w:szCs w:val="24"/>
        </w:rPr>
        <w:t>.</w:t>
      </w:r>
      <w:r w:rsidR="000139B3" w:rsidRPr="00605672">
        <w:rPr>
          <w:szCs w:val="24"/>
        </w:rPr>
        <w:t xml:space="preserve"> </w:t>
      </w:r>
    </w:p>
    <w:p w14:paraId="6EFA88C2" w14:textId="1760D48B" w:rsidR="00B7319E" w:rsidRPr="00605672" w:rsidRDefault="00FB3B98" w:rsidP="00143A23">
      <w:pPr>
        <w:pStyle w:val="Bodytext"/>
        <w:jc w:val="left"/>
        <w:rPr>
          <w:szCs w:val="24"/>
        </w:rPr>
      </w:pPr>
      <w:r w:rsidRPr="00605672">
        <w:rPr>
          <w:szCs w:val="24"/>
        </w:rPr>
        <w:t>To explore</w:t>
      </w:r>
      <w:r w:rsidR="006432F3" w:rsidRPr="00605672">
        <w:rPr>
          <w:szCs w:val="24"/>
        </w:rPr>
        <w:t xml:space="preserve"> </w:t>
      </w:r>
      <w:r w:rsidR="00A76674" w:rsidRPr="00605672">
        <w:rPr>
          <w:szCs w:val="24"/>
        </w:rPr>
        <w:t>H</w:t>
      </w:r>
      <w:r w:rsidR="00AA5B5D" w:rsidRPr="00727D37">
        <w:rPr>
          <w:szCs w:val="24"/>
          <w:vertAlign w:val="subscript"/>
        </w:rPr>
        <w:t>4</w:t>
      </w:r>
      <w:r w:rsidR="00722FE6" w:rsidRPr="00605672">
        <w:rPr>
          <w:szCs w:val="24"/>
        </w:rPr>
        <w:t xml:space="preserve"> </w:t>
      </w:r>
      <w:r w:rsidR="002E69CD">
        <w:rPr>
          <w:szCs w:val="24"/>
        </w:rPr>
        <w:t xml:space="preserve">further, </w:t>
      </w:r>
      <w:r w:rsidR="00722FE6" w:rsidRPr="00605672">
        <w:rPr>
          <w:szCs w:val="24"/>
        </w:rPr>
        <w:t xml:space="preserve">we </w:t>
      </w:r>
      <w:r w:rsidR="002E69CD">
        <w:rPr>
          <w:szCs w:val="24"/>
        </w:rPr>
        <w:t xml:space="preserve">use </w:t>
      </w:r>
      <w:r w:rsidR="00EF6D1C" w:rsidRPr="00605672">
        <w:rPr>
          <w:szCs w:val="24"/>
        </w:rPr>
        <w:t>latent scores</w:t>
      </w:r>
      <w:r w:rsidR="002E69CD">
        <w:rPr>
          <w:szCs w:val="24"/>
        </w:rPr>
        <w:t xml:space="preserve"> and plot </w:t>
      </w:r>
      <w:r w:rsidR="00722FE6" w:rsidRPr="00605672">
        <w:rPr>
          <w:szCs w:val="24"/>
        </w:rPr>
        <w:t xml:space="preserve">the slope </w:t>
      </w:r>
      <w:r w:rsidRPr="00605672">
        <w:rPr>
          <w:szCs w:val="24"/>
        </w:rPr>
        <w:t xml:space="preserve">of supplier incremental investments </w:t>
      </w:r>
      <w:r w:rsidR="008005B8" w:rsidRPr="00605672">
        <w:rPr>
          <w:szCs w:val="24"/>
        </w:rPr>
        <w:t xml:space="preserve">on </w:t>
      </w:r>
      <w:r w:rsidR="00226393" w:rsidRPr="00605672">
        <w:rPr>
          <w:szCs w:val="24"/>
        </w:rPr>
        <w:t xml:space="preserve">supplier ex post transaction </w:t>
      </w:r>
      <w:r w:rsidR="008005B8" w:rsidRPr="00605672">
        <w:rPr>
          <w:szCs w:val="24"/>
        </w:rPr>
        <w:t>costs at five different levels of</w:t>
      </w:r>
      <w:r w:rsidR="00245EF4" w:rsidRPr="00605672">
        <w:rPr>
          <w:szCs w:val="24"/>
        </w:rPr>
        <w:t xml:space="preserve"> mutual asymmetric investments (INVDIFF)</w:t>
      </w:r>
      <w:r w:rsidR="00B7319E" w:rsidRPr="00605672">
        <w:rPr>
          <w:szCs w:val="24"/>
        </w:rPr>
        <w:t xml:space="preserve">: </w:t>
      </w:r>
      <w:r w:rsidR="004C1B9A" w:rsidRPr="00605672">
        <w:rPr>
          <w:szCs w:val="24"/>
        </w:rPr>
        <w:t xml:space="preserve">the </w:t>
      </w:r>
      <w:r w:rsidR="008005B8" w:rsidRPr="00605672">
        <w:rPr>
          <w:szCs w:val="24"/>
        </w:rPr>
        <w:t>minimum</w:t>
      </w:r>
      <w:r w:rsidR="00B7319E" w:rsidRPr="00605672">
        <w:rPr>
          <w:szCs w:val="24"/>
        </w:rPr>
        <w:t xml:space="preserve"> (β</w:t>
      </w:r>
      <w:r w:rsidR="00B7319E" w:rsidRPr="00605672">
        <w:rPr>
          <w:szCs w:val="24"/>
          <w:vertAlign w:val="subscript"/>
        </w:rPr>
        <w:t>Min</w:t>
      </w:r>
      <w:r w:rsidR="00B7319E" w:rsidRPr="00605672">
        <w:rPr>
          <w:szCs w:val="24"/>
        </w:rPr>
        <w:t>)</w:t>
      </w:r>
      <w:r w:rsidR="008005B8" w:rsidRPr="00605672">
        <w:rPr>
          <w:szCs w:val="24"/>
        </w:rPr>
        <w:t xml:space="preserve">, </w:t>
      </w:r>
      <w:r w:rsidR="002E69CD">
        <w:rPr>
          <w:szCs w:val="24"/>
        </w:rPr>
        <w:t>–</w:t>
      </w:r>
      <w:r w:rsidR="008005B8" w:rsidRPr="00605672">
        <w:rPr>
          <w:szCs w:val="24"/>
        </w:rPr>
        <w:t>1SD</w:t>
      </w:r>
      <w:r w:rsidR="00FD2E70" w:rsidRPr="00605672">
        <w:rPr>
          <w:szCs w:val="24"/>
        </w:rPr>
        <w:t xml:space="preserve"> (β</w:t>
      </w:r>
      <w:r w:rsidR="002E69CD">
        <w:rPr>
          <w:szCs w:val="24"/>
          <w:vertAlign w:val="subscript"/>
        </w:rPr>
        <w:t>–</w:t>
      </w:r>
      <w:r w:rsidR="00FD2E70" w:rsidRPr="00605672">
        <w:rPr>
          <w:szCs w:val="24"/>
          <w:vertAlign w:val="subscript"/>
        </w:rPr>
        <w:t>1SD</w:t>
      </w:r>
      <w:r w:rsidR="00FD2E70" w:rsidRPr="00605672">
        <w:rPr>
          <w:szCs w:val="24"/>
        </w:rPr>
        <w:t>)</w:t>
      </w:r>
      <w:r w:rsidR="008005B8" w:rsidRPr="00605672">
        <w:rPr>
          <w:szCs w:val="24"/>
        </w:rPr>
        <w:t xml:space="preserve">, </w:t>
      </w:r>
      <w:r w:rsidR="002E69CD">
        <w:rPr>
          <w:szCs w:val="24"/>
        </w:rPr>
        <w:t xml:space="preserve">the </w:t>
      </w:r>
      <w:r w:rsidR="008005B8" w:rsidRPr="00605672">
        <w:rPr>
          <w:szCs w:val="24"/>
        </w:rPr>
        <w:t>mean</w:t>
      </w:r>
      <w:r w:rsidR="00FD2E70" w:rsidRPr="00605672">
        <w:rPr>
          <w:szCs w:val="24"/>
        </w:rPr>
        <w:t xml:space="preserve"> (β</w:t>
      </w:r>
      <w:r w:rsidR="00FD2E70" w:rsidRPr="00605672">
        <w:rPr>
          <w:szCs w:val="24"/>
          <w:vertAlign w:val="subscript"/>
        </w:rPr>
        <w:t>Mean</w:t>
      </w:r>
      <w:r w:rsidR="00FD2E70" w:rsidRPr="00605672">
        <w:rPr>
          <w:szCs w:val="24"/>
        </w:rPr>
        <w:t>)</w:t>
      </w:r>
      <w:r w:rsidR="008005B8" w:rsidRPr="00605672">
        <w:rPr>
          <w:szCs w:val="24"/>
        </w:rPr>
        <w:t>, +1SD</w:t>
      </w:r>
      <w:r w:rsidR="00FD2E70" w:rsidRPr="00605672">
        <w:rPr>
          <w:szCs w:val="24"/>
        </w:rPr>
        <w:t xml:space="preserve"> (β</w:t>
      </w:r>
      <w:r w:rsidR="00FD2E70" w:rsidRPr="00605672">
        <w:rPr>
          <w:szCs w:val="24"/>
          <w:vertAlign w:val="subscript"/>
        </w:rPr>
        <w:t>+1SD</w:t>
      </w:r>
      <w:r w:rsidR="00FD2E70" w:rsidRPr="00605672">
        <w:rPr>
          <w:szCs w:val="24"/>
        </w:rPr>
        <w:t>)</w:t>
      </w:r>
      <w:r w:rsidR="002E69CD">
        <w:rPr>
          <w:szCs w:val="24"/>
        </w:rPr>
        <w:t>,</w:t>
      </w:r>
      <w:r w:rsidR="008005B8" w:rsidRPr="00605672">
        <w:rPr>
          <w:szCs w:val="24"/>
        </w:rPr>
        <w:t xml:space="preserve"> and </w:t>
      </w:r>
      <w:r w:rsidR="002E69CD">
        <w:rPr>
          <w:szCs w:val="24"/>
        </w:rPr>
        <w:t xml:space="preserve">the </w:t>
      </w:r>
      <w:r w:rsidR="008005B8" w:rsidRPr="00605672">
        <w:rPr>
          <w:szCs w:val="24"/>
        </w:rPr>
        <w:t>maximum</w:t>
      </w:r>
      <w:r w:rsidR="00FD2E70" w:rsidRPr="00605672">
        <w:rPr>
          <w:szCs w:val="24"/>
        </w:rPr>
        <w:t xml:space="preserve"> (β</w:t>
      </w:r>
      <w:r w:rsidR="00FD2E70" w:rsidRPr="00605672">
        <w:rPr>
          <w:szCs w:val="24"/>
          <w:vertAlign w:val="subscript"/>
        </w:rPr>
        <w:t>Max</w:t>
      </w:r>
      <w:r w:rsidR="008005B8" w:rsidRPr="00605672">
        <w:rPr>
          <w:szCs w:val="24"/>
        </w:rPr>
        <w:t>)</w:t>
      </w:r>
      <w:r w:rsidR="0055364D" w:rsidRPr="00605672">
        <w:rPr>
          <w:szCs w:val="24"/>
        </w:rPr>
        <w:t xml:space="preserve">, </w:t>
      </w:r>
      <w:r w:rsidR="00830BFA" w:rsidRPr="00605672">
        <w:rPr>
          <w:szCs w:val="24"/>
        </w:rPr>
        <w:t xml:space="preserve">shown </w:t>
      </w:r>
      <w:r w:rsidR="0055364D" w:rsidRPr="00605672">
        <w:rPr>
          <w:szCs w:val="24"/>
        </w:rPr>
        <w:t>as straight lines in Figure 2 (Panel B2)</w:t>
      </w:r>
      <w:r w:rsidR="002E69CD">
        <w:rPr>
          <w:szCs w:val="24"/>
        </w:rPr>
        <w:t xml:space="preserve">. Each </w:t>
      </w:r>
      <w:r w:rsidR="0055364D" w:rsidRPr="00605672">
        <w:rPr>
          <w:szCs w:val="24"/>
        </w:rPr>
        <w:t xml:space="preserve">slope </w:t>
      </w:r>
      <w:r w:rsidR="00B7319E" w:rsidRPr="00605672">
        <w:rPr>
          <w:szCs w:val="24"/>
        </w:rPr>
        <w:t xml:space="preserve">lines </w:t>
      </w:r>
      <w:r w:rsidR="002E69CD">
        <w:rPr>
          <w:szCs w:val="24"/>
        </w:rPr>
        <w:t xml:space="preserve">indicates the result when we keep </w:t>
      </w:r>
      <w:r w:rsidR="006432F3" w:rsidRPr="00605672">
        <w:rPr>
          <w:szCs w:val="24"/>
        </w:rPr>
        <w:t xml:space="preserve">the </w:t>
      </w:r>
      <w:r w:rsidR="008005B8" w:rsidRPr="00605672">
        <w:rPr>
          <w:szCs w:val="24"/>
        </w:rPr>
        <w:t xml:space="preserve">value </w:t>
      </w:r>
      <w:r w:rsidRPr="00605672">
        <w:rPr>
          <w:szCs w:val="24"/>
        </w:rPr>
        <w:t xml:space="preserve">of reseller </w:t>
      </w:r>
      <w:r w:rsidR="0089722F" w:rsidRPr="00605672">
        <w:rPr>
          <w:szCs w:val="24"/>
        </w:rPr>
        <w:t>selection</w:t>
      </w:r>
      <w:r w:rsidR="008005B8" w:rsidRPr="00605672">
        <w:rPr>
          <w:szCs w:val="24"/>
        </w:rPr>
        <w:t xml:space="preserve"> </w:t>
      </w:r>
      <w:r w:rsidR="009A7282" w:rsidRPr="00605672">
        <w:rPr>
          <w:szCs w:val="24"/>
        </w:rPr>
        <w:t>effort</w:t>
      </w:r>
      <w:r w:rsidR="00CC77DE" w:rsidRPr="00605672">
        <w:rPr>
          <w:szCs w:val="24"/>
        </w:rPr>
        <w:t>s</w:t>
      </w:r>
      <w:r w:rsidR="009A7282" w:rsidRPr="00605672">
        <w:rPr>
          <w:szCs w:val="24"/>
        </w:rPr>
        <w:t xml:space="preserve"> </w:t>
      </w:r>
      <w:r w:rsidR="006432F3" w:rsidRPr="00605672">
        <w:rPr>
          <w:szCs w:val="24"/>
        </w:rPr>
        <w:t xml:space="preserve">fixed at specific levels </w:t>
      </w:r>
      <w:r w:rsidR="008005B8" w:rsidRPr="00605672">
        <w:rPr>
          <w:szCs w:val="24"/>
        </w:rPr>
        <w:t xml:space="preserve">(minimum, </w:t>
      </w:r>
      <w:r w:rsidR="002E69CD">
        <w:rPr>
          <w:szCs w:val="24"/>
        </w:rPr>
        <w:t>–</w:t>
      </w:r>
      <w:r w:rsidR="008005B8" w:rsidRPr="00605672">
        <w:rPr>
          <w:szCs w:val="24"/>
        </w:rPr>
        <w:t>1SD, mean, +1SD</w:t>
      </w:r>
      <w:r w:rsidR="002E69CD">
        <w:rPr>
          <w:szCs w:val="24"/>
        </w:rPr>
        <w:t>,</w:t>
      </w:r>
      <w:r w:rsidR="008005B8" w:rsidRPr="00605672">
        <w:rPr>
          <w:szCs w:val="24"/>
        </w:rPr>
        <w:t xml:space="preserve"> and maximum of </w:t>
      </w:r>
      <w:r w:rsidR="003B7993" w:rsidRPr="00605672">
        <w:rPr>
          <w:szCs w:val="24"/>
        </w:rPr>
        <w:t>SSEL</w:t>
      </w:r>
      <w:r w:rsidR="008005B8" w:rsidRPr="00605672">
        <w:rPr>
          <w:szCs w:val="24"/>
        </w:rPr>
        <w:t xml:space="preserve">T1). </w:t>
      </w:r>
      <w:r w:rsidR="00E87CF4" w:rsidRPr="00605672">
        <w:rPr>
          <w:szCs w:val="24"/>
        </w:rPr>
        <w:t>C</w:t>
      </w:r>
      <w:r w:rsidR="006432F3" w:rsidRPr="00605672">
        <w:rPr>
          <w:szCs w:val="24"/>
        </w:rPr>
        <w:t>ollectively</w:t>
      </w:r>
      <w:r w:rsidR="00E87CF4" w:rsidRPr="00605672">
        <w:rPr>
          <w:szCs w:val="24"/>
        </w:rPr>
        <w:t xml:space="preserve">, </w:t>
      </w:r>
      <w:r w:rsidR="002E69CD">
        <w:rPr>
          <w:szCs w:val="24"/>
        </w:rPr>
        <w:t xml:space="preserve">they </w:t>
      </w:r>
      <w:r w:rsidR="006432F3" w:rsidRPr="00605672">
        <w:rPr>
          <w:szCs w:val="24"/>
        </w:rPr>
        <w:t xml:space="preserve">portray the </w:t>
      </w:r>
      <w:r w:rsidR="002E69CD">
        <w:rPr>
          <w:szCs w:val="24"/>
        </w:rPr>
        <w:t>three</w:t>
      </w:r>
      <w:r w:rsidR="006432F3" w:rsidRPr="00605672">
        <w:rPr>
          <w:szCs w:val="24"/>
        </w:rPr>
        <w:t xml:space="preserve">-way interaction effect </w:t>
      </w:r>
      <w:r w:rsidR="002E69CD">
        <w:rPr>
          <w:szCs w:val="24"/>
        </w:rPr>
        <w:t xml:space="preserve">predicted </w:t>
      </w:r>
      <w:r w:rsidR="005C0548" w:rsidRPr="00605672">
        <w:rPr>
          <w:szCs w:val="24"/>
        </w:rPr>
        <w:t>in H</w:t>
      </w:r>
      <w:r w:rsidR="00AA5B5D" w:rsidRPr="00727D37">
        <w:rPr>
          <w:szCs w:val="24"/>
          <w:vertAlign w:val="subscript"/>
        </w:rPr>
        <w:t>4</w:t>
      </w:r>
      <w:r w:rsidR="005C0548" w:rsidRPr="00605672">
        <w:rPr>
          <w:szCs w:val="24"/>
        </w:rPr>
        <w:t xml:space="preserve">. </w:t>
      </w:r>
      <w:r w:rsidR="00B7319E" w:rsidRPr="00605672">
        <w:rPr>
          <w:szCs w:val="24"/>
        </w:rPr>
        <w:t>A</w:t>
      </w:r>
      <w:r w:rsidR="002E69CD">
        <w:rPr>
          <w:szCs w:val="24"/>
        </w:rPr>
        <w:t xml:space="preserve">ccording to </w:t>
      </w:r>
      <w:r w:rsidR="00B7319E" w:rsidRPr="00605672">
        <w:rPr>
          <w:szCs w:val="24"/>
        </w:rPr>
        <w:t>the upward-sloping</w:t>
      </w:r>
      <w:r w:rsidR="002E69CD">
        <w:rPr>
          <w:szCs w:val="24"/>
        </w:rPr>
        <w:t>,</w:t>
      </w:r>
      <w:r w:rsidR="00B7319E" w:rsidRPr="00605672">
        <w:rPr>
          <w:szCs w:val="24"/>
        </w:rPr>
        <w:t xml:space="preserve"> green line, </w:t>
      </w:r>
      <w:r w:rsidR="002E69CD">
        <w:rPr>
          <w:szCs w:val="24"/>
        </w:rPr>
        <w:t xml:space="preserve">when we keep </w:t>
      </w:r>
      <w:r w:rsidR="003B7993" w:rsidRPr="00605672">
        <w:rPr>
          <w:szCs w:val="24"/>
        </w:rPr>
        <w:t>SSEL</w:t>
      </w:r>
      <w:r w:rsidR="00B7319E" w:rsidRPr="00605672">
        <w:rPr>
          <w:szCs w:val="24"/>
        </w:rPr>
        <w:t xml:space="preserve">T1 fixed at its minimum value, the effect of </w:t>
      </w:r>
      <w:r w:rsidR="00C01960" w:rsidRPr="00605672">
        <w:rPr>
          <w:szCs w:val="24"/>
        </w:rPr>
        <w:t>SINVT2</w:t>
      </w:r>
      <w:r w:rsidR="00B7319E" w:rsidRPr="00605672">
        <w:rPr>
          <w:szCs w:val="24"/>
        </w:rPr>
        <w:t xml:space="preserve"> on costs becomes progressively more positive and significant as INVDIFF increases (</w:t>
      </w:r>
      <w:r w:rsidR="00E32253" w:rsidRPr="00605672">
        <w:rPr>
          <w:szCs w:val="24"/>
        </w:rPr>
        <w:t>β</w:t>
      </w:r>
      <w:r w:rsidR="00E32253" w:rsidRPr="00605672">
        <w:rPr>
          <w:szCs w:val="24"/>
          <w:vertAlign w:val="subscript"/>
        </w:rPr>
        <w:t>Min</w:t>
      </w:r>
      <w:r w:rsidR="00AA5B5D" w:rsidRPr="00727D37">
        <w:rPr>
          <w:szCs w:val="24"/>
        </w:rPr>
        <w:t xml:space="preserve"> </w:t>
      </w:r>
      <w:r w:rsidR="00043F81" w:rsidRPr="00605672">
        <w:rPr>
          <w:szCs w:val="24"/>
        </w:rPr>
        <w:t xml:space="preserve">= </w:t>
      </w:r>
      <w:r w:rsidR="002E69CD">
        <w:rPr>
          <w:szCs w:val="24"/>
        </w:rPr>
        <w:t>–</w:t>
      </w:r>
      <w:r w:rsidR="00043F81" w:rsidRPr="00605672">
        <w:rPr>
          <w:szCs w:val="24"/>
        </w:rPr>
        <w:t>.51</w:t>
      </w:r>
      <w:r w:rsidR="00E32253" w:rsidRPr="00605672">
        <w:rPr>
          <w:szCs w:val="24"/>
        </w:rPr>
        <w:t xml:space="preserve">, </w:t>
      </w:r>
      <w:r w:rsidR="00AA5B5D" w:rsidRPr="00727D37">
        <w:rPr>
          <w:i/>
          <w:szCs w:val="24"/>
        </w:rPr>
        <w:t>p</w:t>
      </w:r>
      <w:r w:rsidR="002E69CD">
        <w:rPr>
          <w:szCs w:val="24"/>
        </w:rPr>
        <w:t xml:space="preserve"> </w:t>
      </w:r>
      <w:r w:rsidR="00E32253" w:rsidRPr="00605672">
        <w:rPr>
          <w:szCs w:val="24"/>
        </w:rPr>
        <w:t>&gt;</w:t>
      </w:r>
      <w:r w:rsidR="002E69CD">
        <w:rPr>
          <w:szCs w:val="24"/>
        </w:rPr>
        <w:t xml:space="preserve"> </w:t>
      </w:r>
      <w:r w:rsidR="00E32253" w:rsidRPr="00605672">
        <w:rPr>
          <w:szCs w:val="24"/>
        </w:rPr>
        <w:t>.1; β</w:t>
      </w:r>
      <w:r w:rsidR="002E69CD">
        <w:rPr>
          <w:szCs w:val="24"/>
          <w:vertAlign w:val="subscript"/>
        </w:rPr>
        <w:t>–</w:t>
      </w:r>
      <w:r w:rsidR="00E32253" w:rsidRPr="00605672">
        <w:rPr>
          <w:szCs w:val="24"/>
          <w:vertAlign w:val="subscript"/>
        </w:rPr>
        <w:t>1SD</w:t>
      </w:r>
      <w:r w:rsidR="00AA5B5D" w:rsidRPr="00727D37">
        <w:rPr>
          <w:szCs w:val="24"/>
        </w:rPr>
        <w:t xml:space="preserve"> </w:t>
      </w:r>
      <w:r w:rsidR="00043F81" w:rsidRPr="00605672">
        <w:rPr>
          <w:szCs w:val="24"/>
        </w:rPr>
        <w:t>= .84</w:t>
      </w:r>
      <w:r w:rsidR="00E32253" w:rsidRPr="00605672">
        <w:rPr>
          <w:szCs w:val="24"/>
        </w:rPr>
        <w:t xml:space="preserve">, </w:t>
      </w:r>
      <w:r w:rsidR="00AA5B5D" w:rsidRPr="00727D37">
        <w:rPr>
          <w:i/>
          <w:szCs w:val="24"/>
        </w:rPr>
        <w:t>p</w:t>
      </w:r>
      <w:r w:rsidR="002E69CD">
        <w:rPr>
          <w:szCs w:val="24"/>
        </w:rPr>
        <w:t xml:space="preserve"> </w:t>
      </w:r>
      <w:r w:rsidR="00E32253" w:rsidRPr="00605672">
        <w:rPr>
          <w:szCs w:val="24"/>
        </w:rPr>
        <w:t>&gt;</w:t>
      </w:r>
      <w:r w:rsidR="002E69CD">
        <w:rPr>
          <w:szCs w:val="24"/>
        </w:rPr>
        <w:t xml:space="preserve"> </w:t>
      </w:r>
      <w:r w:rsidR="00E32253" w:rsidRPr="00605672">
        <w:rPr>
          <w:szCs w:val="24"/>
        </w:rPr>
        <w:t>.1; β</w:t>
      </w:r>
      <w:r w:rsidR="00E32253" w:rsidRPr="00605672">
        <w:rPr>
          <w:szCs w:val="24"/>
          <w:vertAlign w:val="subscript"/>
        </w:rPr>
        <w:t>Mean</w:t>
      </w:r>
      <w:r w:rsidR="00AA5B5D" w:rsidRPr="00727D37">
        <w:rPr>
          <w:szCs w:val="24"/>
        </w:rPr>
        <w:t xml:space="preserve"> </w:t>
      </w:r>
      <w:r w:rsidR="00043F81" w:rsidRPr="00605672">
        <w:rPr>
          <w:szCs w:val="24"/>
        </w:rPr>
        <w:t>= 1.43</w:t>
      </w:r>
      <w:r w:rsidR="00E32253" w:rsidRPr="00605672">
        <w:rPr>
          <w:szCs w:val="24"/>
        </w:rPr>
        <w:t xml:space="preserve">, </w:t>
      </w:r>
      <w:r w:rsidR="00AA5B5D" w:rsidRPr="00727D37">
        <w:rPr>
          <w:i/>
          <w:szCs w:val="24"/>
        </w:rPr>
        <w:t>p</w:t>
      </w:r>
      <w:r w:rsidR="002E69CD">
        <w:rPr>
          <w:szCs w:val="24"/>
        </w:rPr>
        <w:t xml:space="preserve"> </w:t>
      </w:r>
      <w:r w:rsidR="00E32253" w:rsidRPr="00605672">
        <w:rPr>
          <w:szCs w:val="24"/>
        </w:rPr>
        <w:t>&lt;</w:t>
      </w:r>
      <w:r w:rsidR="002E69CD">
        <w:rPr>
          <w:szCs w:val="24"/>
        </w:rPr>
        <w:t xml:space="preserve"> </w:t>
      </w:r>
      <w:r w:rsidR="00E32253" w:rsidRPr="00605672">
        <w:rPr>
          <w:szCs w:val="24"/>
        </w:rPr>
        <w:t>.01; β</w:t>
      </w:r>
      <w:r w:rsidR="00E32253" w:rsidRPr="00605672">
        <w:rPr>
          <w:szCs w:val="24"/>
          <w:vertAlign w:val="subscript"/>
        </w:rPr>
        <w:t>+1SD</w:t>
      </w:r>
      <w:r w:rsidR="00AA5B5D" w:rsidRPr="00727D37">
        <w:rPr>
          <w:szCs w:val="24"/>
        </w:rPr>
        <w:t xml:space="preserve"> </w:t>
      </w:r>
      <w:r w:rsidR="00043F81" w:rsidRPr="00605672">
        <w:rPr>
          <w:szCs w:val="24"/>
        </w:rPr>
        <w:t>= 2.01</w:t>
      </w:r>
      <w:r w:rsidR="00E32253" w:rsidRPr="00605672">
        <w:rPr>
          <w:szCs w:val="24"/>
        </w:rPr>
        <w:t xml:space="preserve">, </w:t>
      </w:r>
      <w:r w:rsidR="00AA5B5D" w:rsidRPr="00727D37">
        <w:rPr>
          <w:i/>
          <w:szCs w:val="24"/>
        </w:rPr>
        <w:t>p</w:t>
      </w:r>
      <w:r w:rsidR="002E69CD">
        <w:rPr>
          <w:szCs w:val="24"/>
        </w:rPr>
        <w:t xml:space="preserve"> </w:t>
      </w:r>
      <w:r w:rsidR="00E32253" w:rsidRPr="00605672">
        <w:rPr>
          <w:szCs w:val="24"/>
        </w:rPr>
        <w:t>&lt;</w:t>
      </w:r>
      <w:r w:rsidR="002E69CD">
        <w:rPr>
          <w:szCs w:val="24"/>
        </w:rPr>
        <w:t xml:space="preserve"> </w:t>
      </w:r>
      <w:r w:rsidR="00E32253" w:rsidRPr="00605672">
        <w:rPr>
          <w:szCs w:val="24"/>
        </w:rPr>
        <w:t>.01</w:t>
      </w:r>
      <w:r w:rsidR="002E69CD">
        <w:rPr>
          <w:szCs w:val="24"/>
        </w:rPr>
        <w:t>;</w:t>
      </w:r>
      <w:r w:rsidR="00E32253" w:rsidRPr="00605672">
        <w:rPr>
          <w:szCs w:val="24"/>
        </w:rPr>
        <w:t xml:space="preserve"> β</w:t>
      </w:r>
      <w:r w:rsidR="00E32253" w:rsidRPr="00605672">
        <w:rPr>
          <w:szCs w:val="24"/>
          <w:vertAlign w:val="subscript"/>
        </w:rPr>
        <w:t>Max</w:t>
      </w:r>
      <w:r w:rsidR="00AA5B5D" w:rsidRPr="00727D37">
        <w:rPr>
          <w:szCs w:val="24"/>
        </w:rPr>
        <w:t xml:space="preserve"> </w:t>
      </w:r>
      <w:r w:rsidR="00E32253" w:rsidRPr="00605672">
        <w:rPr>
          <w:szCs w:val="24"/>
        </w:rPr>
        <w:t xml:space="preserve">= </w:t>
      </w:r>
      <w:r w:rsidR="00043F81" w:rsidRPr="00605672">
        <w:rPr>
          <w:szCs w:val="24"/>
        </w:rPr>
        <w:t>2</w:t>
      </w:r>
      <w:r w:rsidR="00E32253" w:rsidRPr="00605672">
        <w:rPr>
          <w:szCs w:val="24"/>
        </w:rPr>
        <w:t>.</w:t>
      </w:r>
      <w:r w:rsidR="00043F81" w:rsidRPr="00605672">
        <w:rPr>
          <w:szCs w:val="24"/>
        </w:rPr>
        <w:t>79</w:t>
      </w:r>
      <w:r w:rsidR="00E32253" w:rsidRPr="00605672">
        <w:rPr>
          <w:szCs w:val="24"/>
        </w:rPr>
        <w:t xml:space="preserve">, </w:t>
      </w:r>
      <w:r w:rsidR="00AA5B5D" w:rsidRPr="00727D37">
        <w:rPr>
          <w:i/>
          <w:szCs w:val="24"/>
        </w:rPr>
        <w:t>p</w:t>
      </w:r>
      <w:r w:rsidR="002E69CD">
        <w:rPr>
          <w:szCs w:val="24"/>
        </w:rPr>
        <w:t xml:space="preserve"> </w:t>
      </w:r>
      <w:r w:rsidR="00E32253" w:rsidRPr="00605672">
        <w:rPr>
          <w:szCs w:val="24"/>
        </w:rPr>
        <w:t>&lt;</w:t>
      </w:r>
      <w:r w:rsidR="002E69CD">
        <w:rPr>
          <w:szCs w:val="24"/>
        </w:rPr>
        <w:t xml:space="preserve"> </w:t>
      </w:r>
      <w:r w:rsidR="00E32253" w:rsidRPr="00605672">
        <w:rPr>
          <w:szCs w:val="24"/>
        </w:rPr>
        <w:t xml:space="preserve">.01). As </w:t>
      </w:r>
      <w:r w:rsidR="00D325F9" w:rsidRPr="00605672">
        <w:rPr>
          <w:szCs w:val="24"/>
        </w:rPr>
        <w:t>portrayed by</w:t>
      </w:r>
      <w:r w:rsidR="00E32253" w:rsidRPr="00605672">
        <w:rPr>
          <w:szCs w:val="24"/>
        </w:rPr>
        <w:t xml:space="preserve"> the red line</w:t>
      </w:r>
      <w:r w:rsidR="00D325F9" w:rsidRPr="00605672">
        <w:rPr>
          <w:szCs w:val="24"/>
        </w:rPr>
        <w:t xml:space="preserve"> in Panel B2</w:t>
      </w:r>
      <w:r w:rsidR="00E32253" w:rsidRPr="00605672">
        <w:rPr>
          <w:szCs w:val="24"/>
        </w:rPr>
        <w:t xml:space="preserve">, when </w:t>
      </w:r>
      <w:r w:rsidR="003B7993" w:rsidRPr="00605672">
        <w:rPr>
          <w:szCs w:val="24"/>
        </w:rPr>
        <w:t>SSEL</w:t>
      </w:r>
      <w:r w:rsidR="00E32253" w:rsidRPr="00605672">
        <w:rPr>
          <w:szCs w:val="24"/>
        </w:rPr>
        <w:t>T</w:t>
      </w:r>
      <w:r w:rsidR="005C0548" w:rsidRPr="00605672">
        <w:rPr>
          <w:szCs w:val="24"/>
        </w:rPr>
        <w:t>1</w:t>
      </w:r>
      <w:r w:rsidR="00E32253" w:rsidRPr="00605672">
        <w:rPr>
          <w:szCs w:val="24"/>
        </w:rPr>
        <w:t xml:space="preserve"> is fixed at </w:t>
      </w:r>
      <w:r w:rsidR="002E69CD">
        <w:rPr>
          <w:szCs w:val="24"/>
        </w:rPr>
        <w:t>–</w:t>
      </w:r>
      <w:r w:rsidR="00E32253" w:rsidRPr="00605672">
        <w:rPr>
          <w:szCs w:val="24"/>
        </w:rPr>
        <w:t>1 SD, a similar</w:t>
      </w:r>
      <w:r w:rsidR="002E69CD">
        <w:rPr>
          <w:szCs w:val="24"/>
        </w:rPr>
        <w:t xml:space="preserve">, </w:t>
      </w:r>
      <w:r w:rsidR="00E32253" w:rsidRPr="00605672">
        <w:rPr>
          <w:szCs w:val="24"/>
        </w:rPr>
        <w:t>increasingly positive</w:t>
      </w:r>
      <w:r w:rsidR="002E69CD">
        <w:rPr>
          <w:szCs w:val="24"/>
        </w:rPr>
        <w:t>,</w:t>
      </w:r>
      <w:r w:rsidR="00E32253" w:rsidRPr="00605672">
        <w:rPr>
          <w:szCs w:val="24"/>
        </w:rPr>
        <w:t xml:space="preserve"> and significant effect emerges for the slope of </w:t>
      </w:r>
      <w:r w:rsidR="00C01960" w:rsidRPr="00605672">
        <w:rPr>
          <w:szCs w:val="24"/>
        </w:rPr>
        <w:t>SINVT2</w:t>
      </w:r>
      <w:r w:rsidR="00E32253" w:rsidRPr="00605672">
        <w:rPr>
          <w:szCs w:val="24"/>
        </w:rPr>
        <w:t xml:space="preserve"> on costs across the range of INVDIFF. However, </w:t>
      </w:r>
      <w:r w:rsidR="002E69CD">
        <w:rPr>
          <w:szCs w:val="24"/>
        </w:rPr>
        <w:t xml:space="preserve">with </w:t>
      </w:r>
      <w:r w:rsidR="0050376A" w:rsidRPr="00605672">
        <w:rPr>
          <w:szCs w:val="24"/>
        </w:rPr>
        <w:t>the downward-sloping</w:t>
      </w:r>
      <w:r w:rsidR="002E69CD">
        <w:rPr>
          <w:szCs w:val="24"/>
        </w:rPr>
        <w:t>,</w:t>
      </w:r>
      <w:r w:rsidR="0050376A" w:rsidRPr="00605672">
        <w:rPr>
          <w:szCs w:val="24"/>
        </w:rPr>
        <w:t xml:space="preserve"> </w:t>
      </w:r>
      <w:r w:rsidR="000228C7" w:rsidRPr="00605672">
        <w:rPr>
          <w:szCs w:val="24"/>
        </w:rPr>
        <w:t xml:space="preserve">yellow </w:t>
      </w:r>
      <w:r w:rsidR="0050376A" w:rsidRPr="00605672">
        <w:rPr>
          <w:szCs w:val="24"/>
        </w:rPr>
        <w:t xml:space="preserve">line, </w:t>
      </w:r>
      <w:r w:rsidR="002E69CD">
        <w:rPr>
          <w:szCs w:val="24"/>
        </w:rPr>
        <w:t xml:space="preserve">we find that </w:t>
      </w:r>
      <w:r w:rsidR="00E32253" w:rsidRPr="00605672">
        <w:rPr>
          <w:szCs w:val="24"/>
        </w:rPr>
        <w:t xml:space="preserve">when </w:t>
      </w:r>
      <w:r w:rsidR="003B7993" w:rsidRPr="00605672">
        <w:rPr>
          <w:szCs w:val="24"/>
        </w:rPr>
        <w:t>SSEL</w:t>
      </w:r>
      <w:r w:rsidR="00E32253" w:rsidRPr="00605672">
        <w:rPr>
          <w:szCs w:val="24"/>
        </w:rPr>
        <w:t>T</w:t>
      </w:r>
      <w:r w:rsidR="005C0548" w:rsidRPr="00605672">
        <w:rPr>
          <w:szCs w:val="24"/>
        </w:rPr>
        <w:t>1</w:t>
      </w:r>
      <w:r w:rsidR="00E32253" w:rsidRPr="00605672">
        <w:rPr>
          <w:szCs w:val="24"/>
        </w:rPr>
        <w:t xml:space="preserve"> is fixed at +1SD</w:t>
      </w:r>
      <w:r w:rsidR="0050376A" w:rsidRPr="00605672">
        <w:rPr>
          <w:szCs w:val="24"/>
        </w:rPr>
        <w:t xml:space="preserve">, </w:t>
      </w:r>
      <w:r w:rsidR="007242C2" w:rsidRPr="00605672">
        <w:rPr>
          <w:szCs w:val="24"/>
        </w:rPr>
        <w:t xml:space="preserve">the positive effect of </w:t>
      </w:r>
      <w:r w:rsidR="00C01960" w:rsidRPr="00605672">
        <w:rPr>
          <w:szCs w:val="24"/>
        </w:rPr>
        <w:t>SINVT2</w:t>
      </w:r>
      <w:r w:rsidR="007242C2" w:rsidRPr="00605672">
        <w:rPr>
          <w:szCs w:val="24"/>
        </w:rPr>
        <w:t xml:space="preserve"> on costs weakens progressively over the range of INVDIFF (β</w:t>
      </w:r>
      <w:r w:rsidR="007242C2" w:rsidRPr="00605672">
        <w:rPr>
          <w:szCs w:val="24"/>
          <w:vertAlign w:val="subscript"/>
        </w:rPr>
        <w:t>Min</w:t>
      </w:r>
      <w:r w:rsidR="00AA5B5D" w:rsidRPr="00727D37">
        <w:rPr>
          <w:szCs w:val="24"/>
        </w:rPr>
        <w:t xml:space="preserve"> </w:t>
      </w:r>
      <w:r w:rsidR="00043F81" w:rsidRPr="00605672">
        <w:rPr>
          <w:szCs w:val="24"/>
        </w:rPr>
        <w:t>= 1</w:t>
      </w:r>
      <w:r w:rsidR="007242C2" w:rsidRPr="00605672">
        <w:rPr>
          <w:szCs w:val="24"/>
        </w:rPr>
        <w:t>.</w:t>
      </w:r>
      <w:r w:rsidR="00043F81" w:rsidRPr="00605672">
        <w:rPr>
          <w:szCs w:val="24"/>
        </w:rPr>
        <w:t>92</w:t>
      </w:r>
      <w:r w:rsidR="007242C2" w:rsidRPr="00605672">
        <w:rPr>
          <w:szCs w:val="24"/>
        </w:rPr>
        <w:t xml:space="preserve">, </w:t>
      </w:r>
      <w:r w:rsidR="00AA5B5D" w:rsidRPr="00727D37">
        <w:rPr>
          <w:i/>
          <w:szCs w:val="24"/>
        </w:rPr>
        <w:t>p</w:t>
      </w:r>
      <w:r w:rsidR="002E69CD">
        <w:rPr>
          <w:szCs w:val="24"/>
        </w:rPr>
        <w:t xml:space="preserve"> </w:t>
      </w:r>
      <w:r w:rsidR="007242C2" w:rsidRPr="00605672">
        <w:rPr>
          <w:szCs w:val="24"/>
        </w:rPr>
        <w:t>&lt;</w:t>
      </w:r>
      <w:r w:rsidR="002E69CD">
        <w:rPr>
          <w:szCs w:val="24"/>
        </w:rPr>
        <w:t xml:space="preserve"> </w:t>
      </w:r>
      <w:r w:rsidR="007242C2" w:rsidRPr="00605672">
        <w:rPr>
          <w:szCs w:val="24"/>
        </w:rPr>
        <w:t>.01; β</w:t>
      </w:r>
      <w:r w:rsidR="002E69CD">
        <w:rPr>
          <w:szCs w:val="24"/>
          <w:vertAlign w:val="subscript"/>
        </w:rPr>
        <w:t>–</w:t>
      </w:r>
      <w:r w:rsidR="007242C2" w:rsidRPr="00605672">
        <w:rPr>
          <w:szCs w:val="24"/>
          <w:vertAlign w:val="subscript"/>
        </w:rPr>
        <w:lastRenderedPageBreak/>
        <w:t>1SD</w:t>
      </w:r>
      <w:r w:rsidR="00AA5B5D" w:rsidRPr="00727D37">
        <w:rPr>
          <w:szCs w:val="24"/>
        </w:rPr>
        <w:t xml:space="preserve"> </w:t>
      </w:r>
      <w:r w:rsidR="007242C2" w:rsidRPr="00605672">
        <w:rPr>
          <w:szCs w:val="24"/>
        </w:rPr>
        <w:t>= .</w:t>
      </w:r>
      <w:r w:rsidR="00043F81" w:rsidRPr="00605672">
        <w:rPr>
          <w:szCs w:val="24"/>
        </w:rPr>
        <w:t>99</w:t>
      </w:r>
      <w:r w:rsidR="007242C2" w:rsidRPr="00605672">
        <w:rPr>
          <w:szCs w:val="24"/>
        </w:rPr>
        <w:t xml:space="preserve">, </w:t>
      </w:r>
      <w:r w:rsidR="00AA5B5D" w:rsidRPr="00727D37">
        <w:rPr>
          <w:i/>
          <w:szCs w:val="24"/>
        </w:rPr>
        <w:t>p</w:t>
      </w:r>
      <w:r w:rsidR="002E69CD">
        <w:rPr>
          <w:szCs w:val="24"/>
        </w:rPr>
        <w:t xml:space="preserve"> </w:t>
      </w:r>
      <w:r w:rsidR="007242C2" w:rsidRPr="00605672">
        <w:rPr>
          <w:szCs w:val="24"/>
        </w:rPr>
        <w:t>&lt;</w:t>
      </w:r>
      <w:r w:rsidR="002E69CD">
        <w:rPr>
          <w:szCs w:val="24"/>
        </w:rPr>
        <w:t xml:space="preserve"> </w:t>
      </w:r>
      <w:r w:rsidR="007242C2" w:rsidRPr="00605672">
        <w:rPr>
          <w:szCs w:val="24"/>
        </w:rPr>
        <w:t>.05; β</w:t>
      </w:r>
      <w:r w:rsidR="007242C2" w:rsidRPr="00605672">
        <w:rPr>
          <w:szCs w:val="24"/>
          <w:vertAlign w:val="subscript"/>
        </w:rPr>
        <w:t>Mean</w:t>
      </w:r>
      <w:r w:rsidR="00AA5B5D" w:rsidRPr="00727D37">
        <w:rPr>
          <w:szCs w:val="24"/>
        </w:rPr>
        <w:t xml:space="preserve"> </w:t>
      </w:r>
      <w:r w:rsidR="00043F81" w:rsidRPr="00605672">
        <w:rPr>
          <w:szCs w:val="24"/>
        </w:rPr>
        <w:t>= .59</w:t>
      </w:r>
      <w:r w:rsidR="007242C2" w:rsidRPr="00605672">
        <w:rPr>
          <w:szCs w:val="24"/>
        </w:rPr>
        <w:t xml:space="preserve">, </w:t>
      </w:r>
      <w:r w:rsidR="00AA5B5D" w:rsidRPr="00727D37">
        <w:rPr>
          <w:i/>
          <w:szCs w:val="24"/>
        </w:rPr>
        <w:t>p</w:t>
      </w:r>
      <w:r w:rsidR="002E69CD">
        <w:rPr>
          <w:szCs w:val="24"/>
        </w:rPr>
        <w:t xml:space="preserve"> </w:t>
      </w:r>
      <w:r w:rsidR="00043F81" w:rsidRPr="00605672">
        <w:rPr>
          <w:szCs w:val="24"/>
        </w:rPr>
        <w:t>&gt;</w:t>
      </w:r>
      <w:r w:rsidR="002E69CD">
        <w:rPr>
          <w:szCs w:val="24"/>
        </w:rPr>
        <w:t xml:space="preserve"> </w:t>
      </w:r>
      <w:r w:rsidR="007242C2" w:rsidRPr="00605672">
        <w:rPr>
          <w:szCs w:val="24"/>
        </w:rPr>
        <w:t>.1; β</w:t>
      </w:r>
      <w:r w:rsidR="007242C2" w:rsidRPr="00605672">
        <w:rPr>
          <w:szCs w:val="24"/>
          <w:vertAlign w:val="subscript"/>
        </w:rPr>
        <w:t>+1SD</w:t>
      </w:r>
      <w:r w:rsidR="00AA5B5D" w:rsidRPr="00727D37">
        <w:rPr>
          <w:szCs w:val="24"/>
        </w:rPr>
        <w:t xml:space="preserve"> </w:t>
      </w:r>
      <w:r w:rsidR="00043F81" w:rsidRPr="00605672">
        <w:rPr>
          <w:szCs w:val="24"/>
        </w:rPr>
        <w:t>= .19</w:t>
      </w:r>
      <w:r w:rsidR="007242C2" w:rsidRPr="00605672">
        <w:rPr>
          <w:szCs w:val="24"/>
        </w:rPr>
        <w:t xml:space="preserve">, </w:t>
      </w:r>
      <w:r w:rsidR="00AA5B5D" w:rsidRPr="00727D37">
        <w:rPr>
          <w:i/>
          <w:szCs w:val="24"/>
        </w:rPr>
        <w:t>p</w:t>
      </w:r>
      <w:r w:rsidR="002E69CD">
        <w:rPr>
          <w:szCs w:val="24"/>
        </w:rPr>
        <w:t xml:space="preserve"> </w:t>
      </w:r>
      <w:r w:rsidR="007242C2" w:rsidRPr="00605672">
        <w:rPr>
          <w:szCs w:val="24"/>
        </w:rPr>
        <w:t>&gt;</w:t>
      </w:r>
      <w:r w:rsidR="002E69CD">
        <w:rPr>
          <w:szCs w:val="24"/>
        </w:rPr>
        <w:t xml:space="preserve"> </w:t>
      </w:r>
      <w:r w:rsidR="007242C2" w:rsidRPr="00605672">
        <w:rPr>
          <w:szCs w:val="24"/>
        </w:rPr>
        <w:t>.1</w:t>
      </w:r>
      <w:r w:rsidR="002E69CD">
        <w:rPr>
          <w:szCs w:val="24"/>
        </w:rPr>
        <w:t xml:space="preserve">; </w:t>
      </w:r>
      <w:r w:rsidR="007242C2" w:rsidRPr="00605672">
        <w:rPr>
          <w:szCs w:val="24"/>
        </w:rPr>
        <w:t>β</w:t>
      </w:r>
      <w:r w:rsidR="007242C2" w:rsidRPr="00605672">
        <w:rPr>
          <w:szCs w:val="24"/>
          <w:vertAlign w:val="subscript"/>
        </w:rPr>
        <w:t>Max</w:t>
      </w:r>
      <w:r w:rsidR="00AA5B5D" w:rsidRPr="00727D37">
        <w:rPr>
          <w:szCs w:val="24"/>
        </w:rPr>
        <w:t xml:space="preserve"> </w:t>
      </w:r>
      <w:r w:rsidR="007242C2" w:rsidRPr="00605672">
        <w:rPr>
          <w:szCs w:val="24"/>
        </w:rPr>
        <w:t xml:space="preserve">= </w:t>
      </w:r>
      <w:r w:rsidR="002E69CD">
        <w:rPr>
          <w:szCs w:val="24"/>
        </w:rPr>
        <w:t>–</w:t>
      </w:r>
      <w:r w:rsidR="007242C2" w:rsidRPr="00605672">
        <w:rPr>
          <w:szCs w:val="24"/>
        </w:rPr>
        <w:t>.3</w:t>
      </w:r>
      <w:r w:rsidR="00043F81" w:rsidRPr="00605672">
        <w:rPr>
          <w:szCs w:val="24"/>
        </w:rPr>
        <w:t>4</w:t>
      </w:r>
      <w:r w:rsidR="007242C2" w:rsidRPr="00605672">
        <w:rPr>
          <w:szCs w:val="24"/>
        </w:rPr>
        <w:t xml:space="preserve">, </w:t>
      </w:r>
      <w:r w:rsidR="00AA5B5D" w:rsidRPr="00727D37">
        <w:rPr>
          <w:i/>
          <w:szCs w:val="24"/>
        </w:rPr>
        <w:t>p</w:t>
      </w:r>
      <w:r w:rsidR="002E69CD">
        <w:rPr>
          <w:szCs w:val="24"/>
        </w:rPr>
        <w:t xml:space="preserve"> </w:t>
      </w:r>
      <w:r w:rsidR="007242C2" w:rsidRPr="00605672">
        <w:rPr>
          <w:szCs w:val="24"/>
        </w:rPr>
        <w:t>&gt;</w:t>
      </w:r>
      <w:r w:rsidR="002E69CD">
        <w:rPr>
          <w:szCs w:val="24"/>
        </w:rPr>
        <w:t xml:space="preserve"> </w:t>
      </w:r>
      <w:r w:rsidR="007242C2" w:rsidRPr="00605672">
        <w:rPr>
          <w:szCs w:val="24"/>
        </w:rPr>
        <w:t xml:space="preserve">.1). A similar </w:t>
      </w:r>
      <w:r w:rsidR="005E5E6A" w:rsidRPr="00605672">
        <w:rPr>
          <w:szCs w:val="24"/>
        </w:rPr>
        <w:t xml:space="preserve">weakening </w:t>
      </w:r>
      <w:r w:rsidR="002E69CD">
        <w:rPr>
          <w:szCs w:val="24"/>
        </w:rPr>
        <w:t xml:space="preserve">trend of </w:t>
      </w:r>
      <w:r w:rsidR="005E5E6A" w:rsidRPr="00605672">
        <w:rPr>
          <w:szCs w:val="24"/>
        </w:rPr>
        <w:t xml:space="preserve">the </w:t>
      </w:r>
      <w:r w:rsidR="005C0548" w:rsidRPr="00605672">
        <w:rPr>
          <w:szCs w:val="24"/>
        </w:rPr>
        <w:t xml:space="preserve">(positive) </w:t>
      </w:r>
      <w:r w:rsidR="007242C2" w:rsidRPr="00605672">
        <w:rPr>
          <w:szCs w:val="24"/>
        </w:rPr>
        <w:t>effect</w:t>
      </w:r>
      <w:r w:rsidR="005C0548" w:rsidRPr="00605672">
        <w:rPr>
          <w:szCs w:val="24"/>
        </w:rPr>
        <w:t xml:space="preserve"> of </w:t>
      </w:r>
      <w:r w:rsidR="00C01960" w:rsidRPr="00605672">
        <w:rPr>
          <w:szCs w:val="24"/>
        </w:rPr>
        <w:t>SINVT2</w:t>
      </w:r>
      <w:r w:rsidR="007242C2" w:rsidRPr="00605672">
        <w:rPr>
          <w:szCs w:val="24"/>
        </w:rPr>
        <w:t xml:space="preserve"> </w:t>
      </w:r>
      <w:r w:rsidR="002E69CD">
        <w:rPr>
          <w:szCs w:val="24"/>
        </w:rPr>
        <w:t xml:space="preserve">emerges </w:t>
      </w:r>
      <w:r w:rsidR="007242C2" w:rsidRPr="00605672">
        <w:rPr>
          <w:szCs w:val="24"/>
        </w:rPr>
        <w:t xml:space="preserve">at the maximum value of </w:t>
      </w:r>
      <w:r w:rsidR="003B7993" w:rsidRPr="00605672">
        <w:rPr>
          <w:szCs w:val="24"/>
        </w:rPr>
        <w:t>SSEL</w:t>
      </w:r>
      <w:r w:rsidR="007242C2" w:rsidRPr="00605672">
        <w:rPr>
          <w:szCs w:val="24"/>
        </w:rPr>
        <w:t>T</w:t>
      </w:r>
      <w:r w:rsidR="005C0548" w:rsidRPr="00605672">
        <w:rPr>
          <w:szCs w:val="24"/>
        </w:rPr>
        <w:t>1</w:t>
      </w:r>
      <w:r w:rsidR="007242C2" w:rsidRPr="00605672">
        <w:rPr>
          <w:szCs w:val="24"/>
        </w:rPr>
        <w:t xml:space="preserve">, as </w:t>
      </w:r>
      <w:r w:rsidR="005C0548" w:rsidRPr="00605672">
        <w:rPr>
          <w:szCs w:val="24"/>
        </w:rPr>
        <w:t>pictured</w:t>
      </w:r>
      <w:r w:rsidR="007242C2" w:rsidRPr="00605672">
        <w:rPr>
          <w:szCs w:val="24"/>
        </w:rPr>
        <w:t xml:space="preserve"> in the </w:t>
      </w:r>
      <w:r w:rsidR="00DC5930" w:rsidRPr="00605672">
        <w:rPr>
          <w:szCs w:val="24"/>
        </w:rPr>
        <w:t>downward</w:t>
      </w:r>
      <w:r w:rsidR="007242C2" w:rsidRPr="00605672">
        <w:rPr>
          <w:szCs w:val="24"/>
        </w:rPr>
        <w:t>-sloping</w:t>
      </w:r>
      <w:r w:rsidR="002E69CD">
        <w:rPr>
          <w:szCs w:val="24"/>
        </w:rPr>
        <w:t>,</w:t>
      </w:r>
      <w:r w:rsidR="007242C2" w:rsidRPr="00605672">
        <w:rPr>
          <w:szCs w:val="24"/>
        </w:rPr>
        <w:t xml:space="preserve"> blue line.</w:t>
      </w:r>
      <w:r w:rsidR="004E384D" w:rsidRPr="00605672">
        <w:rPr>
          <w:szCs w:val="24"/>
        </w:rPr>
        <w:t xml:space="preserve"> </w:t>
      </w:r>
      <w:r w:rsidR="00DE22F8" w:rsidRPr="00605672">
        <w:rPr>
          <w:szCs w:val="24"/>
        </w:rPr>
        <w:t xml:space="preserve">Substantively, </w:t>
      </w:r>
      <w:r w:rsidR="005C0548" w:rsidRPr="00605672">
        <w:rPr>
          <w:szCs w:val="24"/>
        </w:rPr>
        <w:t xml:space="preserve">these </w:t>
      </w:r>
      <w:r w:rsidR="00DE22F8" w:rsidRPr="00605672">
        <w:rPr>
          <w:szCs w:val="24"/>
        </w:rPr>
        <w:t xml:space="preserve">slope plots </w:t>
      </w:r>
      <w:r w:rsidR="005C0548" w:rsidRPr="00605672">
        <w:rPr>
          <w:szCs w:val="24"/>
        </w:rPr>
        <w:t>su</w:t>
      </w:r>
      <w:r w:rsidR="004E384D" w:rsidRPr="00605672">
        <w:rPr>
          <w:szCs w:val="24"/>
        </w:rPr>
        <w:t>ggest</w:t>
      </w:r>
      <w:r w:rsidR="005C0548" w:rsidRPr="00605672">
        <w:rPr>
          <w:szCs w:val="24"/>
        </w:rPr>
        <w:t xml:space="preserve"> that as </w:t>
      </w:r>
      <w:r w:rsidR="003B7993" w:rsidRPr="00605672">
        <w:rPr>
          <w:szCs w:val="24"/>
        </w:rPr>
        <w:t>SSEL</w:t>
      </w:r>
      <w:r w:rsidR="005C0548" w:rsidRPr="00605672">
        <w:rPr>
          <w:szCs w:val="24"/>
        </w:rPr>
        <w:t xml:space="preserve">T1 and INVDIFF increase, the positive effect of </w:t>
      </w:r>
      <w:r w:rsidR="00C01960" w:rsidRPr="00605672">
        <w:rPr>
          <w:szCs w:val="24"/>
        </w:rPr>
        <w:t>SINVT2</w:t>
      </w:r>
      <w:r w:rsidR="005C0548" w:rsidRPr="00605672">
        <w:rPr>
          <w:szCs w:val="24"/>
        </w:rPr>
        <w:t xml:space="preserve"> on costs weakens. Thus, consistent with H</w:t>
      </w:r>
      <w:r w:rsidR="00AA5B5D" w:rsidRPr="00727D37">
        <w:rPr>
          <w:szCs w:val="24"/>
          <w:vertAlign w:val="subscript"/>
        </w:rPr>
        <w:t>4</w:t>
      </w:r>
      <w:r w:rsidR="005C0548" w:rsidRPr="00605672">
        <w:rPr>
          <w:szCs w:val="24"/>
        </w:rPr>
        <w:t xml:space="preserve">, we find that reseller </w:t>
      </w:r>
      <w:r w:rsidR="0089722F" w:rsidRPr="00605672">
        <w:rPr>
          <w:szCs w:val="24"/>
        </w:rPr>
        <w:t>selection</w:t>
      </w:r>
      <w:r w:rsidR="005C0548" w:rsidRPr="00605672">
        <w:rPr>
          <w:szCs w:val="24"/>
        </w:rPr>
        <w:t xml:space="preserve"> </w:t>
      </w:r>
      <w:r w:rsidR="009A7282" w:rsidRPr="00605672">
        <w:rPr>
          <w:szCs w:val="24"/>
        </w:rPr>
        <w:t>effort</w:t>
      </w:r>
      <w:r w:rsidR="00CC77DE" w:rsidRPr="00605672">
        <w:rPr>
          <w:szCs w:val="24"/>
        </w:rPr>
        <w:t>s</w:t>
      </w:r>
      <w:r w:rsidR="009A7282" w:rsidRPr="00605672">
        <w:rPr>
          <w:szCs w:val="24"/>
        </w:rPr>
        <w:t xml:space="preserve"> </w:t>
      </w:r>
      <w:r w:rsidR="005C0548" w:rsidRPr="00605672">
        <w:rPr>
          <w:szCs w:val="24"/>
        </w:rPr>
        <w:t xml:space="preserve">and </w:t>
      </w:r>
      <w:r w:rsidR="00933744" w:rsidRPr="00605672">
        <w:rPr>
          <w:szCs w:val="24"/>
        </w:rPr>
        <w:t xml:space="preserve">mutual </w:t>
      </w:r>
      <w:r w:rsidR="00A65A03" w:rsidRPr="00605672">
        <w:rPr>
          <w:szCs w:val="24"/>
        </w:rPr>
        <w:t>a</w:t>
      </w:r>
      <w:r w:rsidR="00933744" w:rsidRPr="00605672">
        <w:rPr>
          <w:szCs w:val="24"/>
        </w:rPr>
        <w:t xml:space="preserve">symmetric investments </w:t>
      </w:r>
      <w:r w:rsidR="005C0548" w:rsidRPr="00605672">
        <w:rPr>
          <w:szCs w:val="24"/>
        </w:rPr>
        <w:t xml:space="preserve">jointly </w:t>
      </w:r>
      <w:r w:rsidR="00DC5930" w:rsidRPr="00605672">
        <w:rPr>
          <w:szCs w:val="24"/>
        </w:rPr>
        <w:t xml:space="preserve">temper </w:t>
      </w:r>
      <w:r w:rsidR="005C0548" w:rsidRPr="00605672">
        <w:rPr>
          <w:szCs w:val="24"/>
        </w:rPr>
        <w:t>the transaction cost</w:t>
      </w:r>
      <w:r w:rsidR="002E69CD">
        <w:rPr>
          <w:szCs w:val="24"/>
        </w:rPr>
        <w:t>–</w:t>
      </w:r>
      <w:r w:rsidR="005C0548" w:rsidRPr="00605672">
        <w:rPr>
          <w:szCs w:val="24"/>
        </w:rPr>
        <w:t xml:space="preserve">increasing effect of supplier incremental investments. </w:t>
      </w:r>
    </w:p>
    <w:p w14:paraId="1C5D7270" w14:textId="6626002F" w:rsidR="00FB3B98" w:rsidRPr="00605672" w:rsidRDefault="00D201EE" w:rsidP="00143A23">
      <w:pPr>
        <w:pStyle w:val="Bodytext"/>
        <w:jc w:val="left"/>
        <w:rPr>
          <w:szCs w:val="24"/>
        </w:rPr>
      </w:pPr>
      <w:r w:rsidRPr="00605672">
        <w:rPr>
          <w:szCs w:val="24"/>
        </w:rPr>
        <w:t>Collectively, the</w:t>
      </w:r>
      <w:r w:rsidR="002E69CD">
        <w:rPr>
          <w:szCs w:val="24"/>
        </w:rPr>
        <w:t>se</w:t>
      </w:r>
      <w:r w:rsidRPr="00605672">
        <w:rPr>
          <w:szCs w:val="24"/>
        </w:rPr>
        <w:t xml:space="preserve"> results </w:t>
      </w:r>
      <w:r w:rsidR="00FB3B98" w:rsidRPr="00605672">
        <w:rPr>
          <w:szCs w:val="24"/>
        </w:rPr>
        <w:t>impl</w:t>
      </w:r>
      <w:r w:rsidRPr="00605672">
        <w:rPr>
          <w:szCs w:val="24"/>
        </w:rPr>
        <w:t>y</w:t>
      </w:r>
      <w:r w:rsidR="00FB3B98" w:rsidRPr="00605672">
        <w:rPr>
          <w:szCs w:val="24"/>
        </w:rPr>
        <w:t xml:space="preserve"> that </w:t>
      </w:r>
      <w:r w:rsidR="002E69CD">
        <w:rPr>
          <w:szCs w:val="24"/>
        </w:rPr>
        <w:t xml:space="preserve">though </w:t>
      </w:r>
      <w:r w:rsidR="00FB3B98" w:rsidRPr="00605672">
        <w:rPr>
          <w:szCs w:val="24"/>
        </w:rPr>
        <w:t xml:space="preserve">both </w:t>
      </w:r>
      <w:r w:rsidR="0089722F" w:rsidRPr="00605672">
        <w:rPr>
          <w:szCs w:val="24"/>
        </w:rPr>
        <w:t>selection</w:t>
      </w:r>
      <w:r w:rsidR="00FB3B98" w:rsidRPr="00605672">
        <w:rPr>
          <w:szCs w:val="24"/>
        </w:rPr>
        <w:t xml:space="preserve"> </w:t>
      </w:r>
      <w:r w:rsidR="00226393" w:rsidRPr="00605672">
        <w:rPr>
          <w:szCs w:val="24"/>
        </w:rPr>
        <w:t xml:space="preserve">efforts </w:t>
      </w:r>
      <w:r w:rsidR="00FB3B98" w:rsidRPr="00605672">
        <w:rPr>
          <w:szCs w:val="24"/>
        </w:rPr>
        <w:t xml:space="preserve">and </w:t>
      </w:r>
      <w:r w:rsidR="00C516BB" w:rsidRPr="00605672">
        <w:rPr>
          <w:szCs w:val="24"/>
        </w:rPr>
        <w:t xml:space="preserve">mutual asymmetric </w:t>
      </w:r>
      <w:r w:rsidR="00060055" w:rsidRPr="00605672">
        <w:rPr>
          <w:szCs w:val="24"/>
        </w:rPr>
        <w:t xml:space="preserve">investments </w:t>
      </w:r>
      <w:r w:rsidR="00C516BB" w:rsidRPr="00605672">
        <w:rPr>
          <w:szCs w:val="24"/>
        </w:rPr>
        <w:t xml:space="preserve">at time 1 </w:t>
      </w:r>
      <w:r w:rsidR="00FB3B98" w:rsidRPr="00605672">
        <w:rPr>
          <w:szCs w:val="24"/>
        </w:rPr>
        <w:t>motivate supplier incremental investments</w:t>
      </w:r>
      <w:r w:rsidRPr="00605672">
        <w:rPr>
          <w:szCs w:val="24"/>
        </w:rPr>
        <w:t xml:space="preserve"> </w:t>
      </w:r>
      <w:r w:rsidR="00C516BB" w:rsidRPr="00605672">
        <w:rPr>
          <w:szCs w:val="24"/>
        </w:rPr>
        <w:t xml:space="preserve">at time 2 </w:t>
      </w:r>
      <w:r w:rsidRPr="00605672">
        <w:rPr>
          <w:szCs w:val="24"/>
        </w:rPr>
        <w:t>(H</w:t>
      </w:r>
      <w:r w:rsidR="00AA5B5D" w:rsidRPr="00727D37">
        <w:rPr>
          <w:szCs w:val="24"/>
          <w:vertAlign w:val="subscript"/>
        </w:rPr>
        <w:t>1</w:t>
      </w:r>
      <w:r w:rsidRPr="00605672">
        <w:rPr>
          <w:szCs w:val="24"/>
        </w:rPr>
        <w:t xml:space="preserve"> and H</w:t>
      </w:r>
      <w:r w:rsidR="00AA5B5D" w:rsidRPr="00727D37">
        <w:rPr>
          <w:szCs w:val="24"/>
          <w:vertAlign w:val="subscript"/>
        </w:rPr>
        <w:t>2</w:t>
      </w:r>
      <w:r w:rsidRPr="00605672">
        <w:rPr>
          <w:szCs w:val="24"/>
        </w:rPr>
        <w:t>)</w:t>
      </w:r>
      <w:r w:rsidR="00FB3B98" w:rsidRPr="00605672">
        <w:rPr>
          <w:szCs w:val="24"/>
        </w:rPr>
        <w:t xml:space="preserve">, only </w:t>
      </w:r>
      <w:r w:rsidR="009A7282" w:rsidRPr="00605672">
        <w:rPr>
          <w:szCs w:val="24"/>
        </w:rPr>
        <w:t xml:space="preserve">reseller </w:t>
      </w:r>
      <w:r w:rsidR="0089722F" w:rsidRPr="00605672">
        <w:rPr>
          <w:szCs w:val="24"/>
        </w:rPr>
        <w:t>selection</w:t>
      </w:r>
      <w:r w:rsidR="009A7282" w:rsidRPr="00605672">
        <w:rPr>
          <w:szCs w:val="24"/>
        </w:rPr>
        <w:t xml:space="preserve"> effort</w:t>
      </w:r>
      <w:r w:rsidR="00CF5B28" w:rsidRPr="00605672">
        <w:rPr>
          <w:szCs w:val="24"/>
        </w:rPr>
        <w:t>s</w:t>
      </w:r>
      <w:r w:rsidR="00C516BB" w:rsidRPr="00605672">
        <w:rPr>
          <w:szCs w:val="24"/>
        </w:rPr>
        <w:t xml:space="preserve"> </w:t>
      </w:r>
      <w:r w:rsidR="002E69CD">
        <w:rPr>
          <w:szCs w:val="24"/>
        </w:rPr>
        <w:t xml:space="preserve">have </w:t>
      </w:r>
      <w:r w:rsidR="00FB3B98" w:rsidRPr="00605672">
        <w:rPr>
          <w:szCs w:val="24"/>
        </w:rPr>
        <w:t xml:space="preserve">a </w:t>
      </w:r>
      <w:r w:rsidR="00226393" w:rsidRPr="00605672">
        <w:rPr>
          <w:szCs w:val="24"/>
        </w:rPr>
        <w:t xml:space="preserve">transaction </w:t>
      </w:r>
      <w:r w:rsidR="00FB3B98" w:rsidRPr="00605672">
        <w:rPr>
          <w:szCs w:val="24"/>
        </w:rPr>
        <w:t>cost</w:t>
      </w:r>
      <w:r w:rsidR="002E69CD">
        <w:rPr>
          <w:szCs w:val="24"/>
        </w:rPr>
        <w:t>–</w:t>
      </w:r>
      <w:r w:rsidR="00060055" w:rsidRPr="00605672">
        <w:rPr>
          <w:szCs w:val="24"/>
        </w:rPr>
        <w:t xml:space="preserve">reducing </w:t>
      </w:r>
      <w:r w:rsidR="00FB3B98" w:rsidRPr="00605672">
        <w:rPr>
          <w:szCs w:val="24"/>
        </w:rPr>
        <w:t xml:space="preserve">role </w:t>
      </w:r>
      <w:r w:rsidR="00C516BB" w:rsidRPr="00605672">
        <w:rPr>
          <w:szCs w:val="24"/>
        </w:rPr>
        <w:t xml:space="preserve">at time 2 </w:t>
      </w:r>
      <w:r w:rsidRPr="00605672">
        <w:rPr>
          <w:szCs w:val="24"/>
        </w:rPr>
        <w:t>(H</w:t>
      </w:r>
      <w:r w:rsidR="00AA5B5D" w:rsidRPr="00727D37">
        <w:rPr>
          <w:szCs w:val="24"/>
          <w:vertAlign w:val="subscript"/>
        </w:rPr>
        <w:t>3a</w:t>
      </w:r>
      <w:r w:rsidRPr="00605672">
        <w:rPr>
          <w:szCs w:val="24"/>
        </w:rPr>
        <w:t>)</w:t>
      </w:r>
      <w:r w:rsidR="00FB3B98" w:rsidRPr="00605672">
        <w:rPr>
          <w:szCs w:val="24"/>
        </w:rPr>
        <w:t>.</w:t>
      </w:r>
      <w:r w:rsidRPr="00605672">
        <w:rPr>
          <w:szCs w:val="24"/>
        </w:rPr>
        <w:t xml:space="preserve"> H</w:t>
      </w:r>
      <w:r w:rsidR="00FB3B98" w:rsidRPr="00605672">
        <w:rPr>
          <w:szCs w:val="24"/>
        </w:rPr>
        <w:t xml:space="preserve">owever, </w:t>
      </w:r>
      <w:r w:rsidR="00C516BB" w:rsidRPr="00605672">
        <w:rPr>
          <w:szCs w:val="24"/>
        </w:rPr>
        <w:t xml:space="preserve">mutual asymmetric </w:t>
      </w:r>
      <w:r w:rsidR="00C56E49" w:rsidRPr="00605672">
        <w:rPr>
          <w:szCs w:val="24"/>
        </w:rPr>
        <w:t xml:space="preserve">investments </w:t>
      </w:r>
      <w:r w:rsidR="00FB3B98" w:rsidRPr="00605672">
        <w:rPr>
          <w:szCs w:val="24"/>
        </w:rPr>
        <w:t xml:space="preserve">reduce </w:t>
      </w:r>
      <w:r w:rsidR="002E69CD">
        <w:rPr>
          <w:szCs w:val="24"/>
        </w:rPr>
        <w:t xml:space="preserve">the </w:t>
      </w:r>
      <w:r w:rsidR="00226393" w:rsidRPr="00605672">
        <w:rPr>
          <w:szCs w:val="24"/>
        </w:rPr>
        <w:t xml:space="preserve">supplier ex post </w:t>
      </w:r>
      <w:r w:rsidR="00FB3B98" w:rsidRPr="00605672">
        <w:rPr>
          <w:szCs w:val="24"/>
        </w:rPr>
        <w:t xml:space="preserve">transaction costs </w:t>
      </w:r>
      <w:r w:rsidR="00C516BB" w:rsidRPr="00605672">
        <w:rPr>
          <w:szCs w:val="24"/>
        </w:rPr>
        <w:t xml:space="preserve">(time 2) </w:t>
      </w:r>
      <w:r w:rsidR="00FB3B98" w:rsidRPr="00605672">
        <w:rPr>
          <w:szCs w:val="24"/>
        </w:rPr>
        <w:t xml:space="preserve">resulting from supplier incremental investments when complemented </w:t>
      </w:r>
      <w:r w:rsidR="000B07AA">
        <w:rPr>
          <w:szCs w:val="24"/>
        </w:rPr>
        <w:t>by</w:t>
      </w:r>
      <w:r w:rsidR="00FB3B98" w:rsidRPr="00605672">
        <w:rPr>
          <w:szCs w:val="24"/>
        </w:rPr>
        <w:t xml:space="preserve"> </w:t>
      </w:r>
      <w:r w:rsidR="00131C4C" w:rsidRPr="00605672">
        <w:rPr>
          <w:szCs w:val="24"/>
        </w:rPr>
        <w:t xml:space="preserve">reseller </w:t>
      </w:r>
      <w:r w:rsidR="0089722F" w:rsidRPr="00605672">
        <w:rPr>
          <w:szCs w:val="24"/>
        </w:rPr>
        <w:t>selection</w:t>
      </w:r>
      <w:r w:rsidR="00FB3B98" w:rsidRPr="00605672">
        <w:rPr>
          <w:szCs w:val="24"/>
        </w:rPr>
        <w:t xml:space="preserve"> efforts</w:t>
      </w:r>
      <w:r w:rsidRPr="00605672">
        <w:rPr>
          <w:szCs w:val="24"/>
        </w:rPr>
        <w:t xml:space="preserve"> (H</w:t>
      </w:r>
      <w:r w:rsidR="00AA5B5D" w:rsidRPr="00727D37">
        <w:rPr>
          <w:szCs w:val="24"/>
          <w:vertAlign w:val="subscript"/>
        </w:rPr>
        <w:t>4</w:t>
      </w:r>
      <w:r w:rsidRPr="00605672">
        <w:rPr>
          <w:szCs w:val="24"/>
        </w:rPr>
        <w:t>)</w:t>
      </w:r>
      <w:r w:rsidR="00FB3B98" w:rsidRPr="00605672">
        <w:rPr>
          <w:szCs w:val="24"/>
        </w:rPr>
        <w:t xml:space="preserve">. </w:t>
      </w:r>
      <w:r w:rsidR="00B21840" w:rsidRPr="00605672">
        <w:rPr>
          <w:szCs w:val="24"/>
        </w:rPr>
        <w:t xml:space="preserve">We return to these results in the </w:t>
      </w:r>
      <w:r w:rsidR="002E69CD">
        <w:rPr>
          <w:szCs w:val="24"/>
        </w:rPr>
        <w:t>D</w:t>
      </w:r>
      <w:r w:rsidR="00B21840" w:rsidRPr="00605672">
        <w:rPr>
          <w:szCs w:val="24"/>
        </w:rPr>
        <w:t>iscussion section.</w:t>
      </w:r>
    </w:p>
    <w:p w14:paraId="47FC052F" w14:textId="77777777" w:rsidR="002E4523" w:rsidRPr="00605672" w:rsidRDefault="00FB3B98" w:rsidP="00192FE9">
      <w:pPr>
        <w:spacing w:before="240" w:after="240"/>
        <w:jc w:val="center"/>
        <w:rPr>
          <w:rFonts w:eastAsia="Times New Roman"/>
          <w:i/>
        </w:rPr>
      </w:pPr>
      <w:r w:rsidRPr="00605672">
        <w:t xml:space="preserve">---- Insert Table </w:t>
      </w:r>
      <w:r w:rsidR="00CC5859" w:rsidRPr="00605672">
        <w:t xml:space="preserve">2 </w:t>
      </w:r>
      <w:r w:rsidRPr="00605672">
        <w:t xml:space="preserve">and Figure </w:t>
      </w:r>
      <w:r w:rsidR="0029463B" w:rsidRPr="00605672">
        <w:t xml:space="preserve">2 </w:t>
      </w:r>
      <w:r w:rsidRPr="00605672">
        <w:t>about here ----</w:t>
      </w:r>
    </w:p>
    <w:p w14:paraId="2A5FB564" w14:textId="77777777" w:rsidR="004A1B6C" w:rsidRDefault="000B07AA" w:rsidP="00727D37">
      <w:pPr>
        <w:pStyle w:val="Bodytext"/>
        <w:spacing w:before="120"/>
        <w:ind w:firstLine="0"/>
        <w:jc w:val="center"/>
        <w:rPr>
          <w:i/>
          <w:szCs w:val="24"/>
        </w:rPr>
      </w:pPr>
      <w:r w:rsidRPr="00605672">
        <w:rPr>
          <w:i/>
          <w:szCs w:val="24"/>
        </w:rPr>
        <w:t>SUPPLEMENTAL ANALYSES</w:t>
      </w:r>
    </w:p>
    <w:p w14:paraId="34BE8496" w14:textId="2AC0CC85" w:rsidR="004A1B6C" w:rsidRDefault="00784E11" w:rsidP="00727D37">
      <w:pPr>
        <w:pStyle w:val="Bodytext"/>
        <w:ind w:firstLine="0"/>
        <w:jc w:val="left"/>
        <w:rPr>
          <w:szCs w:val="24"/>
        </w:rPr>
      </w:pPr>
      <w:r w:rsidRPr="00605672">
        <w:rPr>
          <w:i/>
          <w:szCs w:val="24"/>
        </w:rPr>
        <w:t xml:space="preserve">Sample </w:t>
      </w:r>
      <w:r w:rsidR="000B07AA">
        <w:rPr>
          <w:i/>
          <w:szCs w:val="24"/>
        </w:rPr>
        <w:t>A</w:t>
      </w:r>
      <w:r w:rsidRPr="00605672">
        <w:rPr>
          <w:i/>
          <w:szCs w:val="24"/>
        </w:rPr>
        <w:t>ttrition</w:t>
      </w:r>
      <w:r w:rsidR="00FB3B98" w:rsidRPr="00605672">
        <w:rPr>
          <w:szCs w:val="24"/>
        </w:rPr>
        <w:t xml:space="preserve"> </w:t>
      </w:r>
    </w:p>
    <w:p w14:paraId="0BF13E5F" w14:textId="585296F7" w:rsidR="00FB3B98" w:rsidRPr="00605672" w:rsidRDefault="00FB3B98" w:rsidP="00143A23">
      <w:pPr>
        <w:pStyle w:val="Bodytext"/>
        <w:jc w:val="left"/>
        <w:rPr>
          <w:szCs w:val="24"/>
        </w:rPr>
      </w:pPr>
      <w:r w:rsidRPr="00605672">
        <w:rPr>
          <w:szCs w:val="24"/>
        </w:rPr>
        <w:t>A common concern with longitudinal designs is sample attrition or “survivor bias</w:t>
      </w:r>
      <w:r w:rsidR="003353C0">
        <w:rPr>
          <w:szCs w:val="24"/>
        </w:rPr>
        <w:t>.</w:t>
      </w:r>
      <w:r w:rsidRPr="00605672">
        <w:rPr>
          <w:szCs w:val="24"/>
        </w:rPr>
        <w:t>” To assess if such a bias is present in our study, we use the sample selection model proposed by Heckman (1979). Specifically, we estimate a two-step maximum</w:t>
      </w:r>
      <w:r w:rsidR="00EE4E70">
        <w:rPr>
          <w:szCs w:val="24"/>
        </w:rPr>
        <w:t xml:space="preserve"> </w:t>
      </w:r>
      <w:r w:rsidRPr="00605672">
        <w:rPr>
          <w:szCs w:val="24"/>
        </w:rPr>
        <w:t xml:space="preserve">likelihood probit model. In the first </w:t>
      </w:r>
      <w:r w:rsidR="00830BFA" w:rsidRPr="00605672">
        <w:rPr>
          <w:szCs w:val="24"/>
        </w:rPr>
        <w:t>step,</w:t>
      </w:r>
      <w:r w:rsidRPr="00605672">
        <w:rPr>
          <w:szCs w:val="24"/>
        </w:rPr>
        <w:t xml:space="preserve"> we </w:t>
      </w:r>
      <w:r w:rsidR="00EE4E70">
        <w:rPr>
          <w:szCs w:val="24"/>
        </w:rPr>
        <w:t xml:space="preserve">test </w:t>
      </w:r>
      <w:r w:rsidRPr="00605672">
        <w:rPr>
          <w:szCs w:val="24"/>
        </w:rPr>
        <w:t>the likelihood of an observation occurring only once or twice</w:t>
      </w:r>
      <w:r w:rsidR="00EE4E70">
        <w:rPr>
          <w:szCs w:val="24"/>
        </w:rPr>
        <w:t>,</w:t>
      </w:r>
      <w:r w:rsidRPr="00605672">
        <w:rPr>
          <w:szCs w:val="24"/>
        </w:rPr>
        <w:t xml:space="preserve"> using the </w:t>
      </w:r>
      <w:r w:rsidR="000139F7" w:rsidRPr="00605672">
        <w:rPr>
          <w:szCs w:val="24"/>
        </w:rPr>
        <w:t xml:space="preserve">set of </w:t>
      </w:r>
      <w:r w:rsidRPr="00605672">
        <w:rPr>
          <w:szCs w:val="24"/>
        </w:rPr>
        <w:t xml:space="preserve">independent variables </w:t>
      </w:r>
      <w:r w:rsidR="000139F7" w:rsidRPr="00605672">
        <w:rPr>
          <w:szCs w:val="24"/>
        </w:rPr>
        <w:t>at time 1</w:t>
      </w:r>
      <w:r w:rsidRPr="00605672">
        <w:rPr>
          <w:szCs w:val="24"/>
        </w:rPr>
        <w:t xml:space="preserve">. </w:t>
      </w:r>
      <w:r w:rsidR="00EE4E70">
        <w:rPr>
          <w:szCs w:val="24"/>
        </w:rPr>
        <w:t>Then we use</w:t>
      </w:r>
      <w:r w:rsidRPr="00605672">
        <w:rPr>
          <w:szCs w:val="24"/>
        </w:rPr>
        <w:t xml:space="preserve"> the residual retained from th</w:t>
      </w:r>
      <w:r w:rsidR="000139F7" w:rsidRPr="00605672">
        <w:rPr>
          <w:szCs w:val="24"/>
        </w:rPr>
        <w:t>is</w:t>
      </w:r>
      <w:r w:rsidRPr="00605672">
        <w:rPr>
          <w:szCs w:val="24"/>
        </w:rPr>
        <w:t xml:space="preserve"> step to explain ex post transaction costs, controlling again for the </w:t>
      </w:r>
      <w:r w:rsidR="000139F7" w:rsidRPr="00605672">
        <w:rPr>
          <w:szCs w:val="24"/>
        </w:rPr>
        <w:t xml:space="preserve">battery of </w:t>
      </w:r>
      <w:r w:rsidRPr="00605672">
        <w:rPr>
          <w:szCs w:val="24"/>
        </w:rPr>
        <w:t>independent variables</w:t>
      </w:r>
      <w:r w:rsidR="000139F7" w:rsidRPr="00605672">
        <w:rPr>
          <w:szCs w:val="24"/>
        </w:rPr>
        <w:t xml:space="preserve"> collected at time 1</w:t>
      </w:r>
      <w:r w:rsidRPr="00605672">
        <w:rPr>
          <w:szCs w:val="24"/>
        </w:rPr>
        <w:t>. The parameter estimate of the sample selection effect (</w:t>
      </w:r>
      <w:r w:rsidR="00D41985" w:rsidRPr="00605672">
        <w:rPr>
          <w:i/>
          <w:szCs w:val="24"/>
        </w:rPr>
        <w:t>p</w:t>
      </w:r>
      <w:r w:rsidRPr="00605672">
        <w:rPr>
          <w:szCs w:val="24"/>
        </w:rPr>
        <w:t xml:space="preserve"> &gt;</w:t>
      </w:r>
      <w:r w:rsidR="00EE4E70">
        <w:rPr>
          <w:szCs w:val="24"/>
        </w:rPr>
        <w:t xml:space="preserve"> </w:t>
      </w:r>
      <w:r w:rsidRPr="00605672">
        <w:rPr>
          <w:szCs w:val="24"/>
        </w:rPr>
        <w:t xml:space="preserve">.10) suggests </w:t>
      </w:r>
      <w:r w:rsidR="00EE4E70">
        <w:rPr>
          <w:szCs w:val="24"/>
        </w:rPr>
        <w:t xml:space="preserve">the </w:t>
      </w:r>
      <w:r w:rsidRPr="00605672">
        <w:rPr>
          <w:szCs w:val="24"/>
        </w:rPr>
        <w:t>absence of sample selection bias.</w:t>
      </w:r>
    </w:p>
    <w:p w14:paraId="40F267C0" w14:textId="73767544" w:rsidR="004A1B6C" w:rsidRDefault="00784E11" w:rsidP="00727D37">
      <w:pPr>
        <w:pStyle w:val="Bodytext"/>
        <w:ind w:firstLine="0"/>
        <w:jc w:val="left"/>
        <w:rPr>
          <w:szCs w:val="24"/>
        </w:rPr>
      </w:pPr>
      <w:r w:rsidRPr="00605672">
        <w:rPr>
          <w:i/>
          <w:szCs w:val="24"/>
        </w:rPr>
        <w:lastRenderedPageBreak/>
        <w:t>Multicollinearity</w:t>
      </w:r>
    </w:p>
    <w:p w14:paraId="2E831528" w14:textId="0C1A4645" w:rsidR="00A771B2" w:rsidRPr="00605672" w:rsidRDefault="00882279" w:rsidP="00520FFA">
      <w:pPr>
        <w:pStyle w:val="Bodytext"/>
        <w:jc w:val="left"/>
        <w:rPr>
          <w:szCs w:val="24"/>
        </w:rPr>
      </w:pPr>
      <w:r w:rsidRPr="00605672">
        <w:rPr>
          <w:szCs w:val="24"/>
        </w:rPr>
        <w:t xml:space="preserve">Collinearity occurs frequently in interaction models. </w:t>
      </w:r>
      <w:r w:rsidR="00647FEB" w:rsidRPr="00605672">
        <w:rPr>
          <w:szCs w:val="24"/>
        </w:rPr>
        <w:t>To check for multicollinearity, we estimate the</w:t>
      </w:r>
      <w:r w:rsidRPr="00605672">
        <w:rPr>
          <w:szCs w:val="24"/>
        </w:rPr>
        <w:t xml:space="preserve"> mean model variance inflation factor (VIF) </w:t>
      </w:r>
      <w:r w:rsidR="00EE4E70">
        <w:rPr>
          <w:szCs w:val="24"/>
        </w:rPr>
        <w:t xml:space="preserve">and </w:t>
      </w:r>
      <w:r w:rsidRPr="00605672">
        <w:rPr>
          <w:szCs w:val="24"/>
        </w:rPr>
        <w:t>individual VIFs</w:t>
      </w:r>
      <w:r w:rsidR="00647FEB" w:rsidRPr="00605672">
        <w:rPr>
          <w:szCs w:val="24"/>
        </w:rPr>
        <w:t xml:space="preserve"> for the hypothesized effects</w:t>
      </w:r>
      <w:r w:rsidRPr="00605672">
        <w:rPr>
          <w:szCs w:val="24"/>
        </w:rPr>
        <w:t xml:space="preserve">. </w:t>
      </w:r>
      <w:r w:rsidR="003D6FAB" w:rsidRPr="00605672">
        <w:t xml:space="preserve">A common rule is that VIFs of 10 or higher may be reason for concern </w:t>
      </w:r>
      <w:r w:rsidR="003D6FAB" w:rsidRPr="00605672">
        <w:rPr>
          <w:szCs w:val="24"/>
        </w:rPr>
        <w:t>(</w:t>
      </w:r>
      <w:r w:rsidR="002D5EAD" w:rsidRPr="00605672">
        <w:rPr>
          <w:szCs w:val="24"/>
        </w:rPr>
        <w:t>Hair et al. 2010</w:t>
      </w:r>
      <w:r w:rsidR="003D6FAB" w:rsidRPr="00605672">
        <w:rPr>
          <w:szCs w:val="24"/>
        </w:rPr>
        <w:t>)</w:t>
      </w:r>
      <w:r w:rsidR="003D6FAB" w:rsidRPr="00605672">
        <w:t xml:space="preserve">. </w:t>
      </w:r>
      <w:r w:rsidRPr="00605672">
        <w:rPr>
          <w:szCs w:val="24"/>
        </w:rPr>
        <w:t xml:space="preserve">The mean VIF </w:t>
      </w:r>
      <w:r w:rsidR="003D6FAB" w:rsidRPr="00605672">
        <w:rPr>
          <w:szCs w:val="24"/>
        </w:rPr>
        <w:t xml:space="preserve">is </w:t>
      </w:r>
      <w:r w:rsidRPr="00605672">
        <w:rPr>
          <w:szCs w:val="24"/>
        </w:rPr>
        <w:t>4.</w:t>
      </w:r>
      <w:r w:rsidR="0061693E" w:rsidRPr="00605672">
        <w:rPr>
          <w:szCs w:val="24"/>
        </w:rPr>
        <w:t>25</w:t>
      </w:r>
      <w:r w:rsidR="003D6FAB" w:rsidRPr="00605672">
        <w:rPr>
          <w:szCs w:val="24"/>
        </w:rPr>
        <w:t xml:space="preserve">, </w:t>
      </w:r>
      <w:r w:rsidR="00EE4E70">
        <w:rPr>
          <w:szCs w:val="24"/>
        </w:rPr>
        <w:t xml:space="preserve">and </w:t>
      </w:r>
      <w:r w:rsidR="00631FE8" w:rsidRPr="00605672">
        <w:rPr>
          <w:szCs w:val="24"/>
        </w:rPr>
        <w:t>the highest VIF among our hypothesized effects is 2.</w:t>
      </w:r>
      <w:r w:rsidR="001E37F4" w:rsidRPr="00605672">
        <w:rPr>
          <w:szCs w:val="24"/>
        </w:rPr>
        <w:t xml:space="preserve">61 </w:t>
      </w:r>
      <w:r w:rsidR="003E45F9" w:rsidRPr="00605672">
        <w:rPr>
          <w:szCs w:val="24"/>
        </w:rPr>
        <w:t xml:space="preserve">(effect of </w:t>
      </w:r>
      <w:r w:rsidR="004B21B9" w:rsidRPr="00605672">
        <w:rPr>
          <w:szCs w:val="24"/>
        </w:rPr>
        <w:t>mutual asymmetric</w:t>
      </w:r>
      <w:r w:rsidR="003E45F9" w:rsidRPr="00605672">
        <w:rPr>
          <w:szCs w:val="24"/>
        </w:rPr>
        <w:t xml:space="preserve"> investments</w:t>
      </w:r>
      <w:r w:rsidR="00EE4E70">
        <w:rPr>
          <w:szCs w:val="24"/>
        </w:rPr>
        <w:t>,</w:t>
      </w:r>
      <w:r w:rsidR="00631FE8" w:rsidRPr="00605672">
        <w:rPr>
          <w:szCs w:val="24"/>
        </w:rPr>
        <w:t xml:space="preserve"> </w:t>
      </w:r>
      <w:r w:rsidR="00CD49A2" w:rsidRPr="00605672">
        <w:rPr>
          <w:szCs w:val="24"/>
        </w:rPr>
        <w:t>H</w:t>
      </w:r>
      <w:r w:rsidR="00AA5B5D" w:rsidRPr="00727D37">
        <w:rPr>
          <w:szCs w:val="24"/>
          <w:vertAlign w:val="subscript"/>
        </w:rPr>
        <w:t>2</w:t>
      </w:r>
      <w:r w:rsidR="003E45F9" w:rsidRPr="00605672">
        <w:rPr>
          <w:szCs w:val="24"/>
        </w:rPr>
        <w:t>),</w:t>
      </w:r>
      <w:r w:rsidR="00631FE8" w:rsidRPr="00605672">
        <w:rPr>
          <w:szCs w:val="24"/>
        </w:rPr>
        <w:t xml:space="preserve"> </w:t>
      </w:r>
      <w:r w:rsidR="003E45F9" w:rsidRPr="00605672">
        <w:rPr>
          <w:szCs w:val="24"/>
        </w:rPr>
        <w:t xml:space="preserve">well below the </w:t>
      </w:r>
      <w:r w:rsidR="00EE4E70">
        <w:rPr>
          <w:szCs w:val="24"/>
        </w:rPr>
        <w:t>threshold</w:t>
      </w:r>
      <w:r w:rsidR="003E45F9" w:rsidRPr="00605672">
        <w:rPr>
          <w:szCs w:val="24"/>
        </w:rPr>
        <w:t xml:space="preserve">. </w:t>
      </w:r>
      <w:r w:rsidR="007C35D2" w:rsidRPr="00605672">
        <w:rPr>
          <w:szCs w:val="24"/>
        </w:rPr>
        <w:t>Among</w:t>
      </w:r>
      <w:r w:rsidRPr="00605672">
        <w:rPr>
          <w:szCs w:val="24"/>
        </w:rPr>
        <w:t xml:space="preserve"> the interactions, the VIF </w:t>
      </w:r>
      <w:r w:rsidR="007C35D2" w:rsidRPr="00605672">
        <w:rPr>
          <w:szCs w:val="24"/>
        </w:rPr>
        <w:t>for</w:t>
      </w:r>
      <w:r w:rsidRPr="00605672">
        <w:rPr>
          <w:szCs w:val="24"/>
        </w:rPr>
        <w:t xml:space="preserve"> the three-way effect </w:t>
      </w:r>
      <w:r w:rsidR="003018E4" w:rsidRPr="00605672">
        <w:rPr>
          <w:szCs w:val="24"/>
        </w:rPr>
        <w:t>(</w:t>
      </w:r>
      <w:r w:rsidR="00957B78" w:rsidRPr="00605672">
        <w:rPr>
          <w:szCs w:val="24"/>
        </w:rPr>
        <w:t>H</w:t>
      </w:r>
      <w:r w:rsidR="00AA5B5D" w:rsidRPr="00727D37">
        <w:rPr>
          <w:szCs w:val="24"/>
          <w:vertAlign w:val="subscript"/>
        </w:rPr>
        <w:t>4</w:t>
      </w:r>
      <w:r w:rsidR="003018E4" w:rsidRPr="00605672">
        <w:rPr>
          <w:szCs w:val="24"/>
        </w:rPr>
        <w:t>)</w:t>
      </w:r>
      <w:r w:rsidRPr="00605672">
        <w:rPr>
          <w:szCs w:val="24"/>
        </w:rPr>
        <w:t xml:space="preserve"> is 2.</w:t>
      </w:r>
      <w:r w:rsidR="00150721" w:rsidRPr="00605672">
        <w:rPr>
          <w:szCs w:val="24"/>
        </w:rPr>
        <w:t>0</w:t>
      </w:r>
      <w:r w:rsidRPr="00605672">
        <w:rPr>
          <w:szCs w:val="24"/>
        </w:rPr>
        <w:t xml:space="preserve">1. </w:t>
      </w:r>
      <w:r w:rsidR="00A771B2" w:rsidRPr="00605672">
        <w:rPr>
          <w:szCs w:val="24"/>
        </w:rPr>
        <w:t>We find higher VIFs for the non-hypothesized effects</w:t>
      </w:r>
      <w:r w:rsidR="001707A1" w:rsidRPr="00605672">
        <w:rPr>
          <w:szCs w:val="24"/>
        </w:rPr>
        <w:t>,</w:t>
      </w:r>
      <w:r w:rsidR="00A771B2" w:rsidRPr="00605672">
        <w:rPr>
          <w:szCs w:val="24"/>
        </w:rPr>
        <w:t xml:space="preserve"> </w:t>
      </w:r>
      <w:r w:rsidR="00EE4E70">
        <w:rPr>
          <w:szCs w:val="24"/>
        </w:rPr>
        <w:t xml:space="preserve">including a </w:t>
      </w:r>
      <w:r w:rsidR="00A771B2" w:rsidRPr="00605672">
        <w:rPr>
          <w:szCs w:val="24"/>
        </w:rPr>
        <w:t xml:space="preserve">high value </w:t>
      </w:r>
      <w:r w:rsidR="00EE4E70">
        <w:rPr>
          <w:szCs w:val="24"/>
        </w:rPr>
        <w:t xml:space="preserve">of 29.08 </w:t>
      </w:r>
      <w:r w:rsidR="00A771B2" w:rsidRPr="00605672">
        <w:t xml:space="preserve">for SINVT2. To </w:t>
      </w:r>
      <w:r w:rsidR="00EE4E70">
        <w:t xml:space="preserve">check </w:t>
      </w:r>
      <w:r w:rsidR="00A771B2" w:rsidRPr="00605672">
        <w:t xml:space="preserve">if </w:t>
      </w:r>
      <w:r w:rsidR="00EE4E70">
        <w:t xml:space="preserve">it had any </w:t>
      </w:r>
      <w:r w:rsidR="00A771B2" w:rsidRPr="00605672">
        <w:t>meaningful effect on our results</w:t>
      </w:r>
      <w:r w:rsidR="001707A1" w:rsidRPr="00605672">
        <w:t>,</w:t>
      </w:r>
      <w:r w:rsidR="00A771B2" w:rsidRPr="00605672">
        <w:t xml:space="preserve"> we </w:t>
      </w:r>
      <w:r w:rsidR="001707A1" w:rsidRPr="00605672">
        <w:t xml:space="preserve">first </w:t>
      </w:r>
      <w:r w:rsidR="00A771B2" w:rsidRPr="00605672">
        <w:t xml:space="preserve">remove the </w:t>
      </w:r>
      <w:r w:rsidR="00EE4E70">
        <w:t>three</w:t>
      </w:r>
      <w:r w:rsidR="00A771B2" w:rsidRPr="00605672">
        <w:t xml:space="preserve">-way interaction from </w:t>
      </w:r>
      <w:r w:rsidR="00EE4E70">
        <w:t>E</w:t>
      </w:r>
      <w:r w:rsidR="00A771B2" w:rsidRPr="00605672">
        <w:t xml:space="preserve">quation 1 and reestimate the model. </w:t>
      </w:r>
      <w:r w:rsidR="00EE4E70">
        <w:t xml:space="preserve">Then we </w:t>
      </w:r>
      <w:r w:rsidR="00520FFA" w:rsidRPr="00605672">
        <w:t xml:space="preserve">reestimate </w:t>
      </w:r>
      <w:r w:rsidR="001707A1" w:rsidRPr="00605672">
        <w:t xml:space="preserve">the model </w:t>
      </w:r>
      <w:r w:rsidR="00520FFA" w:rsidRPr="00605672">
        <w:t xml:space="preserve">with all </w:t>
      </w:r>
      <w:r w:rsidR="00EE4E70">
        <w:t>two</w:t>
      </w:r>
      <w:r w:rsidR="00520FFA" w:rsidRPr="00605672">
        <w:t xml:space="preserve">- and </w:t>
      </w:r>
      <w:r w:rsidR="00EE4E70">
        <w:t>three</w:t>
      </w:r>
      <w:r w:rsidR="00520FFA" w:rsidRPr="00605672">
        <w:t xml:space="preserve">-way interactions removed. </w:t>
      </w:r>
      <w:r w:rsidR="00520FFA" w:rsidRPr="00605672">
        <w:rPr>
          <w:szCs w:val="24"/>
        </w:rPr>
        <w:t>Both estimations</w:t>
      </w:r>
      <w:r w:rsidR="00A771B2" w:rsidRPr="00605672">
        <w:rPr>
          <w:szCs w:val="24"/>
        </w:rPr>
        <w:t xml:space="preserve"> result in the same significance levels for the two-way (</w:t>
      </w:r>
      <w:r w:rsidR="00EE4E70">
        <w:rPr>
          <w:szCs w:val="24"/>
        </w:rPr>
        <w:t xml:space="preserve">without </w:t>
      </w:r>
      <w:r w:rsidR="00A771B2" w:rsidRPr="00605672">
        <w:rPr>
          <w:szCs w:val="24"/>
        </w:rPr>
        <w:t xml:space="preserve">the three-way interaction) </w:t>
      </w:r>
      <w:r w:rsidR="00A65A03" w:rsidRPr="00605672">
        <w:rPr>
          <w:szCs w:val="24"/>
        </w:rPr>
        <w:t xml:space="preserve">and </w:t>
      </w:r>
      <w:r w:rsidR="00A771B2" w:rsidRPr="00605672">
        <w:rPr>
          <w:szCs w:val="24"/>
        </w:rPr>
        <w:t>direct (</w:t>
      </w:r>
      <w:r w:rsidR="00EE4E70">
        <w:rPr>
          <w:szCs w:val="24"/>
        </w:rPr>
        <w:t xml:space="preserve">without </w:t>
      </w:r>
      <w:r w:rsidR="00A771B2" w:rsidRPr="00605672">
        <w:rPr>
          <w:szCs w:val="24"/>
        </w:rPr>
        <w:t xml:space="preserve">two-way </w:t>
      </w:r>
      <w:r w:rsidR="00EE4E70">
        <w:rPr>
          <w:szCs w:val="24"/>
        </w:rPr>
        <w:t xml:space="preserve">or </w:t>
      </w:r>
      <w:r w:rsidR="00A771B2" w:rsidRPr="00605672">
        <w:rPr>
          <w:szCs w:val="24"/>
        </w:rPr>
        <w:t>three-way interactions)</w:t>
      </w:r>
      <w:r w:rsidR="00EE4E70">
        <w:rPr>
          <w:szCs w:val="24"/>
        </w:rPr>
        <w:t xml:space="preserve"> effects</w:t>
      </w:r>
      <w:r w:rsidR="00A771B2" w:rsidRPr="00605672">
        <w:rPr>
          <w:szCs w:val="24"/>
        </w:rPr>
        <w:t xml:space="preserve">. We </w:t>
      </w:r>
      <w:r w:rsidR="001707A1" w:rsidRPr="00605672">
        <w:rPr>
          <w:szCs w:val="24"/>
        </w:rPr>
        <w:t xml:space="preserve">thus </w:t>
      </w:r>
      <w:r w:rsidR="00A771B2" w:rsidRPr="00605672">
        <w:rPr>
          <w:szCs w:val="24"/>
        </w:rPr>
        <w:t xml:space="preserve">conclude that collinearity has no meaningful impact on </w:t>
      </w:r>
      <w:r w:rsidR="00A65A03" w:rsidRPr="00605672">
        <w:rPr>
          <w:szCs w:val="24"/>
        </w:rPr>
        <w:t xml:space="preserve">our </w:t>
      </w:r>
      <w:r w:rsidR="00A771B2" w:rsidRPr="00605672">
        <w:rPr>
          <w:szCs w:val="24"/>
        </w:rPr>
        <w:t>results.</w:t>
      </w:r>
    </w:p>
    <w:bookmarkEnd w:id="0"/>
    <w:bookmarkEnd w:id="1"/>
    <w:bookmarkEnd w:id="2"/>
    <w:p w14:paraId="75CF624A" w14:textId="2E07739A" w:rsidR="004A1B6C" w:rsidRDefault="00D43385" w:rsidP="00727D37">
      <w:pPr>
        <w:pStyle w:val="Bodytext"/>
        <w:ind w:firstLine="0"/>
        <w:jc w:val="left"/>
        <w:rPr>
          <w:szCs w:val="24"/>
        </w:rPr>
      </w:pPr>
      <w:r w:rsidRPr="00605672">
        <w:rPr>
          <w:i/>
          <w:szCs w:val="24"/>
        </w:rPr>
        <w:t xml:space="preserve">Drivers of </w:t>
      </w:r>
      <w:r w:rsidR="000B07AA">
        <w:rPr>
          <w:i/>
          <w:szCs w:val="24"/>
        </w:rPr>
        <w:t>I</w:t>
      </w:r>
      <w:r w:rsidRPr="00605672">
        <w:rPr>
          <w:i/>
          <w:szCs w:val="24"/>
        </w:rPr>
        <w:t xml:space="preserve">nitial </w:t>
      </w:r>
      <w:r w:rsidR="000B07AA">
        <w:rPr>
          <w:i/>
          <w:szCs w:val="24"/>
        </w:rPr>
        <w:t>I</w:t>
      </w:r>
      <w:r w:rsidRPr="00605672">
        <w:rPr>
          <w:i/>
          <w:szCs w:val="24"/>
        </w:rPr>
        <w:t>nvestments</w:t>
      </w:r>
    </w:p>
    <w:p w14:paraId="2FFAAB04" w14:textId="510EF95F" w:rsidR="00A33167" w:rsidRPr="00605672" w:rsidRDefault="00D43385" w:rsidP="00DB37F8">
      <w:pPr>
        <w:pStyle w:val="Bodytext"/>
        <w:jc w:val="left"/>
        <w:rPr>
          <w:szCs w:val="24"/>
        </w:rPr>
      </w:pPr>
      <w:r w:rsidRPr="00605672">
        <w:rPr>
          <w:szCs w:val="24"/>
        </w:rPr>
        <w:t xml:space="preserve">In an effort to validate our results, we estimate two additional models </w:t>
      </w:r>
      <w:r w:rsidR="00EE4E70">
        <w:rPr>
          <w:szCs w:val="24"/>
        </w:rPr>
        <w:t xml:space="preserve">with the </w:t>
      </w:r>
      <w:r w:rsidRPr="00605672">
        <w:rPr>
          <w:szCs w:val="24"/>
        </w:rPr>
        <w:t>larger sample obtain</w:t>
      </w:r>
      <w:r w:rsidR="00776335" w:rsidRPr="00605672">
        <w:rPr>
          <w:szCs w:val="24"/>
        </w:rPr>
        <w:t>ed</w:t>
      </w:r>
      <w:r w:rsidRPr="00605672">
        <w:rPr>
          <w:szCs w:val="24"/>
        </w:rPr>
        <w:t xml:space="preserve"> </w:t>
      </w:r>
      <w:r w:rsidR="00EE4E70">
        <w:rPr>
          <w:szCs w:val="24"/>
        </w:rPr>
        <w:t xml:space="preserve">from </w:t>
      </w:r>
      <w:r w:rsidRPr="00605672">
        <w:rPr>
          <w:szCs w:val="24"/>
        </w:rPr>
        <w:t xml:space="preserve">the first wave of data collection (time 1). </w:t>
      </w:r>
      <w:r w:rsidR="00761357" w:rsidRPr="00605672">
        <w:rPr>
          <w:szCs w:val="24"/>
        </w:rPr>
        <w:t>Specifically</w:t>
      </w:r>
      <w:r w:rsidRPr="00605672">
        <w:rPr>
          <w:szCs w:val="24"/>
        </w:rPr>
        <w:t>, we examine</w:t>
      </w:r>
      <w:r w:rsidR="00822B04" w:rsidRPr="00605672">
        <w:rPr>
          <w:szCs w:val="24"/>
        </w:rPr>
        <w:t xml:space="preserve"> drivers of </w:t>
      </w:r>
      <w:r w:rsidRPr="00605672">
        <w:rPr>
          <w:szCs w:val="24"/>
        </w:rPr>
        <w:t xml:space="preserve">supplier (SINVT1) and reseller (RINVT1) </w:t>
      </w:r>
      <w:r w:rsidR="00761357" w:rsidRPr="00605672">
        <w:rPr>
          <w:szCs w:val="24"/>
        </w:rPr>
        <w:t>initial</w:t>
      </w:r>
      <w:r w:rsidRPr="00605672">
        <w:rPr>
          <w:szCs w:val="24"/>
        </w:rPr>
        <w:t xml:space="preserve"> </w:t>
      </w:r>
      <w:r w:rsidR="00E91F96" w:rsidRPr="00605672">
        <w:rPr>
          <w:szCs w:val="24"/>
        </w:rPr>
        <w:t>investments</w:t>
      </w:r>
      <w:r w:rsidRPr="00605672">
        <w:rPr>
          <w:szCs w:val="24"/>
        </w:rPr>
        <w:t xml:space="preserve">, </w:t>
      </w:r>
      <w:r w:rsidR="00E91F96" w:rsidRPr="00605672">
        <w:rPr>
          <w:szCs w:val="24"/>
        </w:rPr>
        <w:t xml:space="preserve">using reseller and supplier </w:t>
      </w:r>
      <w:r w:rsidR="0089722F" w:rsidRPr="00605672">
        <w:rPr>
          <w:szCs w:val="24"/>
        </w:rPr>
        <w:t>selection</w:t>
      </w:r>
      <w:r w:rsidR="00E91F96" w:rsidRPr="00605672">
        <w:rPr>
          <w:szCs w:val="24"/>
        </w:rPr>
        <w:t xml:space="preserve"> </w:t>
      </w:r>
      <w:r w:rsidR="009A7282" w:rsidRPr="00605672">
        <w:rPr>
          <w:szCs w:val="24"/>
        </w:rPr>
        <w:t>effort</w:t>
      </w:r>
      <w:r w:rsidR="00836F34" w:rsidRPr="00605672">
        <w:rPr>
          <w:szCs w:val="24"/>
        </w:rPr>
        <w:t>s</w:t>
      </w:r>
      <w:r w:rsidR="009A7282" w:rsidRPr="00605672">
        <w:rPr>
          <w:szCs w:val="24"/>
        </w:rPr>
        <w:t xml:space="preserve"> </w:t>
      </w:r>
      <w:r w:rsidR="00E91F96" w:rsidRPr="00605672">
        <w:rPr>
          <w:szCs w:val="24"/>
        </w:rPr>
        <w:t xml:space="preserve">as </w:t>
      </w:r>
      <w:r w:rsidR="00776335" w:rsidRPr="00605672">
        <w:rPr>
          <w:szCs w:val="24"/>
        </w:rPr>
        <w:t xml:space="preserve">key </w:t>
      </w:r>
      <w:r w:rsidR="00E91F96" w:rsidRPr="00605672">
        <w:rPr>
          <w:szCs w:val="24"/>
        </w:rPr>
        <w:t>predictors</w:t>
      </w:r>
      <w:r w:rsidR="00A65A03" w:rsidRPr="00605672">
        <w:rPr>
          <w:szCs w:val="24"/>
        </w:rPr>
        <w:t xml:space="preserve"> (</w:t>
      </w:r>
      <w:r w:rsidR="003B7993" w:rsidRPr="00605672">
        <w:rPr>
          <w:szCs w:val="24"/>
        </w:rPr>
        <w:t>SSEL</w:t>
      </w:r>
      <w:r w:rsidR="00A65A03" w:rsidRPr="00605672">
        <w:rPr>
          <w:szCs w:val="24"/>
        </w:rPr>
        <w:t xml:space="preserve">T1 and </w:t>
      </w:r>
      <w:r w:rsidR="003B7993" w:rsidRPr="00605672">
        <w:rPr>
          <w:szCs w:val="24"/>
        </w:rPr>
        <w:t>RSEL</w:t>
      </w:r>
      <w:r w:rsidR="00A65A03" w:rsidRPr="00605672">
        <w:rPr>
          <w:szCs w:val="24"/>
        </w:rPr>
        <w:t>T1)</w:t>
      </w:r>
      <w:r w:rsidR="00822B04" w:rsidRPr="00605672">
        <w:rPr>
          <w:szCs w:val="24"/>
        </w:rPr>
        <w:t xml:space="preserve">. </w:t>
      </w:r>
      <w:r w:rsidR="00EE4E70">
        <w:rPr>
          <w:szCs w:val="24"/>
        </w:rPr>
        <w:t xml:space="preserve">Although </w:t>
      </w:r>
      <w:r w:rsidR="00BD428B" w:rsidRPr="00605672">
        <w:rPr>
          <w:szCs w:val="24"/>
        </w:rPr>
        <w:t>the supplier’s</w:t>
      </w:r>
      <w:r w:rsidR="00E91F96" w:rsidRPr="00605672">
        <w:rPr>
          <w:szCs w:val="24"/>
        </w:rPr>
        <w:t xml:space="preserve"> </w:t>
      </w:r>
      <w:r w:rsidR="0089722F" w:rsidRPr="00605672">
        <w:rPr>
          <w:szCs w:val="24"/>
        </w:rPr>
        <w:t>selection</w:t>
      </w:r>
      <w:r w:rsidR="00FF4879" w:rsidRPr="00605672">
        <w:rPr>
          <w:szCs w:val="24"/>
        </w:rPr>
        <w:t xml:space="preserve"> </w:t>
      </w:r>
      <w:r w:rsidR="004B6FEF" w:rsidRPr="00605672">
        <w:rPr>
          <w:szCs w:val="24"/>
        </w:rPr>
        <w:t>efforts</w:t>
      </w:r>
      <w:r w:rsidR="00BD428B" w:rsidRPr="00605672">
        <w:rPr>
          <w:szCs w:val="24"/>
        </w:rPr>
        <w:t xml:space="preserve"> </w:t>
      </w:r>
      <w:r w:rsidR="006D47D6" w:rsidRPr="00605672">
        <w:rPr>
          <w:szCs w:val="24"/>
        </w:rPr>
        <w:t>se</w:t>
      </w:r>
      <w:r w:rsidR="00831FF5" w:rsidRPr="00605672">
        <w:rPr>
          <w:szCs w:val="24"/>
        </w:rPr>
        <w:t>rve</w:t>
      </w:r>
      <w:r w:rsidR="006D47D6" w:rsidRPr="00605672">
        <w:rPr>
          <w:szCs w:val="24"/>
        </w:rPr>
        <w:t xml:space="preserve"> as</w:t>
      </w:r>
      <w:r w:rsidR="00AA35E9" w:rsidRPr="00605672">
        <w:rPr>
          <w:szCs w:val="24"/>
        </w:rPr>
        <w:t xml:space="preserve"> a significant predictor of</w:t>
      </w:r>
      <w:r w:rsidR="002D2979" w:rsidRPr="00605672">
        <w:rPr>
          <w:szCs w:val="24"/>
        </w:rPr>
        <w:t xml:space="preserve"> both supplier and reseller initial investments (</w:t>
      </w:r>
      <w:r w:rsidR="00D81403" w:rsidRPr="00605672">
        <w:rPr>
          <w:i/>
          <w:szCs w:val="24"/>
        </w:rPr>
        <w:t>p</w:t>
      </w:r>
      <w:r w:rsidR="002D2979" w:rsidRPr="00605672">
        <w:rPr>
          <w:szCs w:val="24"/>
        </w:rPr>
        <w:t xml:space="preserve"> &lt; .05)</w:t>
      </w:r>
      <w:r w:rsidR="006D47D6" w:rsidRPr="00605672">
        <w:rPr>
          <w:szCs w:val="24"/>
        </w:rPr>
        <w:t>, n</w:t>
      </w:r>
      <w:r w:rsidR="002D2979" w:rsidRPr="00605672">
        <w:rPr>
          <w:szCs w:val="24"/>
        </w:rPr>
        <w:t xml:space="preserve">o such effect </w:t>
      </w:r>
      <w:r w:rsidR="00EE4E70">
        <w:rPr>
          <w:szCs w:val="24"/>
        </w:rPr>
        <w:t xml:space="preserve">is </w:t>
      </w:r>
      <w:r w:rsidR="002D2979" w:rsidRPr="00605672">
        <w:rPr>
          <w:szCs w:val="24"/>
        </w:rPr>
        <w:t xml:space="preserve">discernible </w:t>
      </w:r>
      <w:r w:rsidR="00006593" w:rsidRPr="00605672">
        <w:rPr>
          <w:szCs w:val="24"/>
        </w:rPr>
        <w:t>for</w:t>
      </w:r>
      <w:r w:rsidR="00AA35E9" w:rsidRPr="00605672">
        <w:rPr>
          <w:szCs w:val="24"/>
        </w:rPr>
        <w:t xml:space="preserve"> the reseller’s </w:t>
      </w:r>
      <w:r w:rsidR="00831FF5" w:rsidRPr="00605672">
        <w:rPr>
          <w:szCs w:val="24"/>
        </w:rPr>
        <w:t xml:space="preserve">own </w:t>
      </w:r>
      <w:r w:rsidR="0089722F" w:rsidRPr="00605672">
        <w:rPr>
          <w:szCs w:val="24"/>
        </w:rPr>
        <w:t>selection</w:t>
      </w:r>
      <w:r w:rsidR="00AA35E9" w:rsidRPr="00605672">
        <w:rPr>
          <w:szCs w:val="24"/>
        </w:rPr>
        <w:t xml:space="preserve"> </w:t>
      </w:r>
      <w:r w:rsidR="002D2979" w:rsidRPr="00605672">
        <w:rPr>
          <w:szCs w:val="24"/>
        </w:rPr>
        <w:t>efforts</w:t>
      </w:r>
      <w:r w:rsidR="006D47D6" w:rsidRPr="00605672">
        <w:rPr>
          <w:szCs w:val="24"/>
        </w:rPr>
        <w:t>.</w:t>
      </w:r>
      <w:r w:rsidR="002D2979" w:rsidRPr="00605672">
        <w:rPr>
          <w:szCs w:val="24"/>
        </w:rPr>
        <w:t xml:space="preserve"> </w:t>
      </w:r>
      <w:r w:rsidR="006D47D6" w:rsidRPr="00605672">
        <w:rPr>
          <w:szCs w:val="24"/>
        </w:rPr>
        <w:t>These findings are consistent with the significant</w:t>
      </w:r>
      <w:r w:rsidR="00EE4E70">
        <w:rPr>
          <w:szCs w:val="24"/>
        </w:rPr>
        <w:t>,</w:t>
      </w:r>
      <w:r w:rsidR="00A33167" w:rsidRPr="00605672">
        <w:rPr>
          <w:szCs w:val="24"/>
        </w:rPr>
        <w:t xml:space="preserve"> </w:t>
      </w:r>
      <w:r w:rsidR="006D47D6" w:rsidRPr="00605672">
        <w:rPr>
          <w:szCs w:val="24"/>
        </w:rPr>
        <w:t xml:space="preserve">positive effect of reseller </w:t>
      </w:r>
      <w:r w:rsidR="0089722F" w:rsidRPr="00605672">
        <w:rPr>
          <w:szCs w:val="24"/>
        </w:rPr>
        <w:t>selection</w:t>
      </w:r>
      <w:r w:rsidR="006D47D6" w:rsidRPr="00605672">
        <w:rPr>
          <w:szCs w:val="24"/>
        </w:rPr>
        <w:t xml:space="preserve"> </w:t>
      </w:r>
      <w:r w:rsidR="009A7282" w:rsidRPr="00605672">
        <w:rPr>
          <w:szCs w:val="24"/>
        </w:rPr>
        <w:t>effort</w:t>
      </w:r>
      <w:r w:rsidR="00836F34" w:rsidRPr="00605672">
        <w:rPr>
          <w:szCs w:val="24"/>
        </w:rPr>
        <w:t>s</w:t>
      </w:r>
      <w:r w:rsidR="009A7282" w:rsidRPr="00605672">
        <w:rPr>
          <w:szCs w:val="24"/>
        </w:rPr>
        <w:t xml:space="preserve"> </w:t>
      </w:r>
      <w:r w:rsidR="006D47D6" w:rsidRPr="00605672">
        <w:rPr>
          <w:szCs w:val="24"/>
        </w:rPr>
        <w:t>(</w:t>
      </w:r>
      <w:r w:rsidR="003B7993" w:rsidRPr="00605672">
        <w:rPr>
          <w:szCs w:val="24"/>
        </w:rPr>
        <w:t>SSEL</w:t>
      </w:r>
      <w:r w:rsidR="006D47D6" w:rsidRPr="00605672">
        <w:rPr>
          <w:szCs w:val="24"/>
        </w:rPr>
        <w:t>T1) on supplier and reseller incremental investments</w:t>
      </w:r>
      <w:r w:rsidR="000225BD" w:rsidRPr="00605672">
        <w:rPr>
          <w:szCs w:val="24"/>
        </w:rPr>
        <w:t xml:space="preserve"> (SINVT2 and RINVT2)</w:t>
      </w:r>
      <w:r w:rsidR="006D47D6" w:rsidRPr="00605672">
        <w:rPr>
          <w:szCs w:val="24"/>
        </w:rPr>
        <w:t xml:space="preserve">, </w:t>
      </w:r>
      <w:r w:rsidR="00A33167" w:rsidRPr="00605672">
        <w:rPr>
          <w:szCs w:val="24"/>
        </w:rPr>
        <w:t>as well as</w:t>
      </w:r>
      <w:r w:rsidR="006D47D6" w:rsidRPr="00605672">
        <w:rPr>
          <w:szCs w:val="24"/>
        </w:rPr>
        <w:t xml:space="preserve"> wit</w:t>
      </w:r>
      <w:r w:rsidR="00A33167" w:rsidRPr="00605672">
        <w:rPr>
          <w:szCs w:val="24"/>
        </w:rPr>
        <w:t xml:space="preserve">h the non-significant effects for </w:t>
      </w:r>
      <w:r w:rsidR="006D47D6" w:rsidRPr="00605672">
        <w:rPr>
          <w:szCs w:val="24"/>
        </w:rPr>
        <w:t xml:space="preserve">supplier </w:t>
      </w:r>
      <w:r w:rsidR="0089722F" w:rsidRPr="00605672">
        <w:rPr>
          <w:szCs w:val="24"/>
        </w:rPr>
        <w:t>selection</w:t>
      </w:r>
      <w:r w:rsidR="009A7282" w:rsidRPr="00605672">
        <w:rPr>
          <w:szCs w:val="24"/>
        </w:rPr>
        <w:t xml:space="preserve"> effort</w:t>
      </w:r>
      <w:r w:rsidR="00836F34" w:rsidRPr="00605672">
        <w:rPr>
          <w:szCs w:val="24"/>
        </w:rPr>
        <w:t>s</w:t>
      </w:r>
      <w:r w:rsidR="006D47D6" w:rsidRPr="00605672">
        <w:rPr>
          <w:szCs w:val="24"/>
        </w:rPr>
        <w:t xml:space="preserve"> (</w:t>
      </w:r>
      <w:r w:rsidR="003B7993" w:rsidRPr="00605672">
        <w:rPr>
          <w:szCs w:val="24"/>
        </w:rPr>
        <w:t>RSEL</w:t>
      </w:r>
      <w:r w:rsidR="006D47D6" w:rsidRPr="00605672">
        <w:rPr>
          <w:szCs w:val="24"/>
        </w:rPr>
        <w:t>T1)</w:t>
      </w:r>
      <w:r w:rsidR="00006593" w:rsidRPr="00605672">
        <w:rPr>
          <w:szCs w:val="24"/>
        </w:rPr>
        <w:t xml:space="preserve"> in Table 2</w:t>
      </w:r>
      <w:r w:rsidR="006D47D6" w:rsidRPr="00605672">
        <w:rPr>
          <w:szCs w:val="24"/>
        </w:rPr>
        <w:t xml:space="preserve">. </w:t>
      </w:r>
    </w:p>
    <w:p w14:paraId="3E7F954A" w14:textId="77777777" w:rsidR="008E5FC8" w:rsidRPr="00605672" w:rsidRDefault="008E5FC8" w:rsidP="008E5FC8">
      <w:pPr>
        <w:pStyle w:val="Heading1"/>
        <w:spacing w:before="240"/>
      </w:pPr>
      <w:r w:rsidRPr="00605672">
        <w:lastRenderedPageBreak/>
        <w:t>DISCUSSION</w:t>
      </w:r>
    </w:p>
    <w:p w14:paraId="3F8F13BF" w14:textId="1BF07309" w:rsidR="008E5FC8" w:rsidRPr="00605672" w:rsidRDefault="008E5FC8" w:rsidP="008E5FC8">
      <w:pPr>
        <w:spacing w:line="480" w:lineRule="auto"/>
        <w:ind w:firstLine="720"/>
      </w:pPr>
      <w:r w:rsidRPr="00605672">
        <w:t>Channel relationship governance is an important part of a supplier’s overall marketing strategy</w:t>
      </w:r>
      <w:r w:rsidR="00FD7904" w:rsidRPr="00605672">
        <w:t xml:space="preserve"> (Palmatier, Gopalakrishna</w:t>
      </w:r>
      <w:r w:rsidR="00294AB3">
        <w:t>,</w:t>
      </w:r>
      <w:r w:rsidR="00FD7904" w:rsidRPr="00605672">
        <w:t xml:space="preserve"> and Houston 2006)</w:t>
      </w:r>
      <w:r w:rsidRPr="00605672">
        <w:t xml:space="preserve">. Governance is a means of infusing “order” (Commons 1934; Williamson 2010), </w:t>
      </w:r>
      <w:r w:rsidR="00294AB3">
        <w:t xml:space="preserve">so </w:t>
      </w:r>
      <w:r w:rsidRPr="00605672">
        <w:t xml:space="preserve">we consider how order follows from particular </w:t>
      </w:r>
      <w:r w:rsidR="00294AB3">
        <w:t>actions</w:t>
      </w:r>
      <w:r w:rsidRPr="00605672">
        <w:t xml:space="preserve"> (purposeful selection efforts) and the relationship’s governance </w:t>
      </w:r>
      <w:r w:rsidR="00AA5B5D" w:rsidRPr="00727D37">
        <w:t>structure</w:t>
      </w:r>
      <w:r w:rsidRPr="00605672">
        <w:t xml:space="preserve"> (mutual asymmetric investments). </w:t>
      </w:r>
      <w:r w:rsidR="00294AB3">
        <w:t>In this section</w:t>
      </w:r>
      <w:r w:rsidRPr="00605672">
        <w:t xml:space="preserve">, we first discuss our empirical results, then highlight their specific managerial and theoretical implications. We close with a discussion of the study’s limitations and topics for </w:t>
      </w:r>
      <w:r w:rsidR="00294AB3">
        <w:t xml:space="preserve">further </w:t>
      </w:r>
      <w:r w:rsidRPr="00605672">
        <w:t>research.</w:t>
      </w:r>
    </w:p>
    <w:p w14:paraId="54B3372D" w14:textId="32D47700" w:rsidR="004A1B6C" w:rsidRDefault="008E5FC8" w:rsidP="00727D37">
      <w:pPr>
        <w:spacing w:line="480" w:lineRule="auto"/>
      </w:pPr>
      <w:r w:rsidRPr="00605672">
        <w:tab/>
        <w:t xml:space="preserve">Our central theoretical argument </w:t>
      </w:r>
      <w:r w:rsidR="00294AB3">
        <w:t xml:space="preserve">is </w:t>
      </w:r>
      <w:r w:rsidRPr="00605672">
        <w:t xml:space="preserve">that a firm’s governance choices, broadly defined, </w:t>
      </w:r>
      <w:r w:rsidR="00294AB3">
        <w:t xml:space="preserve">have </w:t>
      </w:r>
      <w:r w:rsidRPr="00605672">
        <w:t>two distinct roles in a channel relationship, namely</w:t>
      </w:r>
      <w:r w:rsidR="00294AB3">
        <w:t>,</w:t>
      </w:r>
      <w:r w:rsidRPr="00605672">
        <w:t xml:space="preserve"> to </w:t>
      </w:r>
      <w:r w:rsidR="00AA5B5D" w:rsidRPr="00727D37">
        <w:t>promote</w:t>
      </w:r>
      <w:r w:rsidRPr="00294AB3">
        <w:t xml:space="preserve"> incremental supplier investments in valuable assets (Ghosh and John 1999) and </w:t>
      </w:r>
      <w:r w:rsidR="00294AB3">
        <w:t xml:space="preserve">then to </w:t>
      </w:r>
      <w:r w:rsidR="00AA5B5D" w:rsidRPr="00727D37">
        <w:t>safeguard</w:t>
      </w:r>
      <w:r w:rsidRPr="00605672">
        <w:t xml:space="preserve"> those assets, which are also vulnerable, from transaction costs due to reseller behavior. </w:t>
      </w:r>
      <w:r w:rsidR="00294AB3">
        <w:t>R</w:t>
      </w:r>
      <w:r w:rsidRPr="00605672">
        <w:t xml:space="preserve">eseller selection </w:t>
      </w:r>
      <w:r w:rsidR="00681DB3" w:rsidRPr="00605672">
        <w:t xml:space="preserve">efforts </w:t>
      </w:r>
      <w:r w:rsidR="00294AB3">
        <w:t xml:space="preserve">take </w:t>
      </w:r>
      <w:r w:rsidRPr="00605672">
        <w:t>both roles; stringent selection efforts serve to both promote supplier incremental investments (H</w:t>
      </w:r>
      <w:r w:rsidR="00AA5B5D" w:rsidRPr="00727D37">
        <w:rPr>
          <w:vertAlign w:val="subscript"/>
        </w:rPr>
        <w:t>1</w:t>
      </w:r>
      <w:r w:rsidRPr="00605672">
        <w:t>) and safeguard them ex post (H</w:t>
      </w:r>
      <w:r w:rsidR="00AA5B5D" w:rsidRPr="00727D37">
        <w:rPr>
          <w:vertAlign w:val="subscript"/>
        </w:rPr>
        <w:t>3a</w:t>
      </w:r>
      <w:r w:rsidRPr="00605672">
        <w:t xml:space="preserve">). This pattern of results suggests that selection </w:t>
      </w:r>
      <w:r w:rsidR="00294AB3">
        <w:t>affects</w:t>
      </w:r>
      <w:r w:rsidR="00294AB3" w:rsidRPr="00605672">
        <w:t xml:space="preserve"> </w:t>
      </w:r>
      <w:r w:rsidRPr="00605672">
        <w:t xml:space="preserve">both the </w:t>
      </w:r>
      <w:r w:rsidR="00AA5B5D" w:rsidRPr="00727D37">
        <w:t xml:space="preserve">investor </w:t>
      </w:r>
      <w:r w:rsidR="00294AB3">
        <w:t xml:space="preserve">that </w:t>
      </w:r>
      <w:r w:rsidRPr="00294AB3">
        <w:t xml:space="preserve">commits </w:t>
      </w:r>
      <w:r w:rsidR="00294AB3">
        <w:t xml:space="preserve">its </w:t>
      </w:r>
      <w:r w:rsidRPr="00294AB3">
        <w:t xml:space="preserve">specialized assets and the </w:t>
      </w:r>
      <w:r w:rsidR="00AA5B5D" w:rsidRPr="00727D37">
        <w:t>recipient</w:t>
      </w:r>
      <w:r w:rsidR="00294AB3">
        <w:t>,</w:t>
      </w:r>
      <w:r w:rsidRPr="00294AB3">
        <w:t xml:space="preserve"> </w:t>
      </w:r>
      <w:r w:rsidRPr="00605672">
        <w:t xml:space="preserve">whose behavior may </w:t>
      </w:r>
      <w:r w:rsidR="00294AB3">
        <w:t xml:space="preserve">create </w:t>
      </w:r>
      <w:r w:rsidRPr="00605672">
        <w:t>transaction costs. Mutual asymmetric investments</w:t>
      </w:r>
      <w:r w:rsidR="00294AB3">
        <w:t xml:space="preserve"> do </w:t>
      </w:r>
      <w:r w:rsidRPr="00605672">
        <w:t>not exhibit such a dual pattern</w:t>
      </w:r>
      <w:r w:rsidR="00294AB3">
        <w:t xml:space="preserve"> though</w:t>
      </w:r>
      <w:r w:rsidRPr="00605672">
        <w:t xml:space="preserve">. </w:t>
      </w:r>
      <w:r w:rsidR="00294AB3">
        <w:t xml:space="preserve">When </w:t>
      </w:r>
      <w:r w:rsidRPr="00605672">
        <w:t>in the supplier’s favor</w:t>
      </w:r>
      <w:r w:rsidR="00294AB3">
        <w:t xml:space="preserve">, they </w:t>
      </w:r>
      <w:r w:rsidRPr="00605672">
        <w:t xml:space="preserve">promote incremental investments </w:t>
      </w:r>
      <w:r w:rsidR="00294AB3">
        <w:t xml:space="preserve">by </w:t>
      </w:r>
      <w:r w:rsidRPr="00605672">
        <w:t>the supplier (H</w:t>
      </w:r>
      <w:r w:rsidR="00AA5B5D" w:rsidRPr="00727D37">
        <w:rPr>
          <w:vertAlign w:val="subscript"/>
        </w:rPr>
        <w:t>2</w:t>
      </w:r>
      <w:r w:rsidRPr="00605672">
        <w:t xml:space="preserve">), </w:t>
      </w:r>
      <w:r w:rsidR="00294AB3">
        <w:t xml:space="preserve">but alone, they do not </w:t>
      </w:r>
      <w:r w:rsidRPr="00605672">
        <w:t>suppress ongoing supplier ex post transaction costs that result from these investments</w:t>
      </w:r>
      <w:r w:rsidR="00294AB3">
        <w:t xml:space="preserve"> (cf. H</w:t>
      </w:r>
      <w:r w:rsidR="00294AB3">
        <w:rPr>
          <w:vertAlign w:val="subscript"/>
        </w:rPr>
        <w:t>3b</w:t>
      </w:r>
      <w:r w:rsidR="00294AB3">
        <w:t>)</w:t>
      </w:r>
      <w:r w:rsidRPr="00605672">
        <w:t xml:space="preserve">. </w:t>
      </w:r>
      <w:r w:rsidR="00294AB3">
        <w:t xml:space="preserve">Yet it is </w:t>
      </w:r>
      <w:r w:rsidRPr="00605672">
        <w:t xml:space="preserve">noteworthy that mutual asymmetric investments in combination with selection </w:t>
      </w:r>
      <w:r w:rsidR="00681DB3" w:rsidRPr="00605672">
        <w:t xml:space="preserve">efforts </w:t>
      </w:r>
      <w:r w:rsidRPr="00605672">
        <w:t>significantly reduce the transaction cost implications of incremental investments</w:t>
      </w:r>
      <w:r w:rsidR="00294AB3">
        <w:t xml:space="preserve"> (</w:t>
      </w:r>
      <w:r w:rsidRPr="00605672">
        <w:t>H</w:t>
      </w:r>
      <w:r w:rsidR="00AA5B5D" w:rsidRPr="00727D37">
        <w:rPr>
          <w:vertAlign w:val="subscript"/>
        </w:rPr>
        <w:t>4</w:t>
      </w:r>
      <w:r w:rsidR="00294AB3">
        <w:t>).</w:t>
      </w:r>
      <w:r w:rsidRPr="00605672">
        <w:t xml:space="preserve"> Our findings suggest that this result </w:t>
      </w:r>
      <w:r w:rsidR="00294AB3">
        <w:t xml:space="preserve">stems </w:t>
      </w:r>
      <w:r w:rsidRPr="00605672">
        <w:t xml:space="preserve">from the juxtaposition </w:t>
      </w:r>
      <w:r w:rsidR="00294AB3">
        <w:t xml:space="preserve">of </w:t>
      </w:r>
      <w:r w:rsidRPr="00605672">
        <w:t>high</w:t>
      </w:r>
      <w:r w:rsidRPr="00605672">
        <w:rPr>
          <w:i/>
        </w:rPr>
        <w:t xml:space="preserve"> </w:t>
      </w:r>
      <w:r w:rsidRPr="00605672">
        <w:t>reseller motivation (induced by higher level</w:t>
      </w:r>
      <w:r w:rsidR="00294AB3">
        <w:t>s</w:t>
      </w:r>
      <w:r w:rsidRPr="00605672">
        <w:t xml:space="preserve"> of asymmetric investments) </w:t>
      </w:r>
      <w:r w:rsidR="00294AB3">
        <w:t xml:space="preserve">with </w:t>
      </w:r>
      <w:r w:rsidRPr="00605672">
        <w:t xml:space="preserve">high reseller ability (careful selection efforts on the supplier’s part). </w:t>
      </w:r>
      <w:r w:rsidR="00294AB3">
        <w:t>S</w:t>
      </w:r>
      <w:r w:rsidRPr="00605672">
        <w:t xml:space="preserve">pecifically, mutual asymmetric </w:t>
      </w:r>
      <w:r w:rsidRPr="00605672">
        <w:lastRenderedPageBreak/>
        <w:t xml:space="preserve">investments in the supplier’s favor, </w:t>
      </w:r>
      <w:r w:rsidR="00294AB3">
        <w:t xml:space="preserve">such </w:t>
      </w:r>
      <w:r w:rsidRPr="00605672">
        <w:t xml:space="preserve">that the reseller is more dependent on the supplier than vice versa, increases the reseller’s motivation to maintain the relationship, consistent with the theory of self-enforcing agreements (Telser 1980). </w:t>
      </w:r>
      <w:r w:rsidR="00294AB3">
        <w:t xml:space="preserve">In </w:t>
      </w:r>
      <w:r w:rsidRPr="00605672">
        <w:t xml:space="preserve">such conditions, careful selection ensures that the reseller possesses abilities to enact appropriate behaviors that ensure relationship continuity and prevent </w:t>
      </w:r>
      <w:r w:rsidR="00294AB3">
        <w:t xml:space="preserve">relationship </w:t>
      </w:r>
      <w:r w:rsidRPr="00605672">
        <w:t xml:space="preserve">termination. </w:t>
      </w:r>
    </w:p>
    <w:p w14:paraId="6D5A47E5" w14:textId="007A1008" w:rsidR="008E5FC8" w:rsidRPr="00605672" w:rsidRDefault="00294AB3" w:rsidP="008E5FC8">
      <w:pPr>
        <w:spacing w:line="480" w:lineRule="auto"/>
        <w:ind w:firstLine="720"/>
        <w:rPr>
          <w:i/>
        </w:rPr>
      </w:pPr>
      <w:r>
        <w:t xml:space="preserve">Although </w:t>
      </w:r>
      <w:r w:rsidR="008E5FC8" w:rsidRPr="00605672">
        <w:t>the particular constellation of variables that underlies H</w:t>
      </w:r>
      <w:r w:rsidR="00AA5B5D" w:rsidRPr="00727D37">
        <w:rPr>
          <w:vertAlign w:val="subscript"/>
        </w:rPr>
        <w:t>4</w:t>
      </w:r>
      <w:r w:rsidR="008E5FC8" w:rsidRPr="00605672">
        <w:t xml:space="preserve"> involves joint </w:t>
      </w:r>
      <w:r>
        <w:t xml:space="preserve">increases </w:t>
      </w:r>
      <w:r w:rsidR="008E5FC8" w:rsidRPr="00605672">
        <w:t>in reseller motivation and ability, it</w:t>
      </w:r>
      <w:r>
        <w:t xml:space="preserve"> also is </w:t>
      </w:r>
      <w:r w:rsidR="008E5FC8" w:rsidRPr="00605672">
        <w:t>useful to consider the supplier</w:t>
      </w:r>
      <w:r w:rsidR="00836F34" w:rsidRPr="00605672">
        <w:t>’s</w:t>
      </w:r>
      <w:r w:rsidR="008E5FC8" w:rsidRPr="00605672">
        <w:t xml:space="preserve"> ex post transaction cost</w:t>
      </w:r>
      <w:r>
        <w:t xml:space="preserve">s, with </w:t>
      </w:r>
      <w:r w:rsidR="008E5FC8" w:rsidRPr="00605672">
        <w:t xml:space="preserve">three alternative scenarios. First, the combination of high reseller ability and low reseller motivation (i.e., low INVDIFF) has positive transaction cost implications (Figure 2, Panel B2, upper-left corner). Substantively, highly qualified resellers </w:t>
      </w:r>
      <w:r>
        <w:t xml:space="preserve">that </w:t>
      </w:r>
      <w:r w:rsidR="008E5FC8" w:rsidRPr="00605672">
        <w:t xml:space="preserve">are less invested in the relationship with the supplier, </w:t>
      </w:r>
      <w:r>
        <w:t xml:space="preserve">such that their </w:t>
      </w:r>
      <w:r w:rsidR="008E5FC8" w:rsidRPr="00605672">
        <w:t xml:space="preserve">motivation for relationship maintenance is lower, are both able and willing to take advantage of the supplier’s increased lock-in from its incremental investments. </w:t>
      </w:r>
      <w:r>
        <w:t xml:space="preserve">Second, </w:t>
      </w:r>
      <w:r w:rsidR="001648CE">
        <w:t xml:space="preserve">with a </w:t>
      </w:r>
      <w:r w:rsidR="008E5FC8" w:rsidRPr="00605672">
        <w:t xml:space="preserve">combination of low reseller ability and high motivation (Figure 2, Panel B2, upper-right corner), incremental investments </w:t>
      </w:r>
      <w:r>
        <w:t xml:space="preserve">lead to </w:t>
      </w:r>
      <w:r w:rsidR="008E5FC8" w:rsidRPr="00605672">
        <w:t>increase</w:t>
      </w:r>
      <w:r>
        <w:t>d</w:t>
      </w:r>
      <w:r w:rsidR="008E5FC8" w:rsidRPr="00605672">
        <w:t xml:space="preserve"> costs. </w:t>
      </w:r>
      <w:r>
        <w:t>Due to</w:t>
      </w:r>
      <w:r w:rsidR="008E5FC8" w:rsidRPr="00605672">
        <w:t xml:space="preserve"> high asymmetric investments in the supplier’s favor, the reseller </w:t>
      </w:r>
      <w:r>
        <w:t xml:space="preserve">gets </w:t>
      </w:r>
      <w:r w:rsidR="008E5FC8" w:rsidRPr="00605672">
        <w:t>locked</w:t>
      </w:r>
      <w:r>
        <w:t xml:space="preserve"> </w:t>
      </w:r>
      <w:r w:rsidR="008E5FC8" w:rsidRPr="00605672">
        <w:t xml:space="preserve">in and motivated to maintain the relationship. </w:t>
      </w:r>
      <w:r>
        <w:t xml:space="preserve">Yet its </w:t>
      </w:r>
      <w:r w:rsidR="008E5FC8" w:rsidRPr="00605672">
        <w:t xml:space="preserve">low ability means that </w:t>
      </w:r>
      <w:r>
        <w:t>this</w:t>
      </w:r>
      <w:r w:rsidRPr="00605672">
        <w:t xml:space="preserve"> </w:t>
      </w:r>
      <w:r w:rsidR="008E5FC8" w:rsidRPr="00605672">
        <w:t xml:space="preserve">reseller lacks the skills to realize the value that resides in the supplier’s incremental investments. </w:t>
      </w:r>
      <w:r>
        <w:t xml:space="preserve">The </w:t>
      </w:r>
      <w:r w:rsidR="008E5FC8" w:rsidRPr="00605672">
        <w:t xml:space="preserve">supplier </w:t>
      </w:r>
      <w:r>
        <w:t xml:space="preserve">then suffers </w:t>
      </w:r>
      <w:r w:rsidR="008E5FC8" w:rsidRPr="00605672">
        <w:t xml:space="preserve">more reseller mistakes, which require costly interventions. </w:t>
      </w:r>
      <w:r>
        <w:t xml:space="preserve">Third, </w:t>
      </w:r>
      <w:r w:rsidR="008E5FC8" w:rsidRPr="00605672">
        <w:t>the combination of low reseller ability and low motivation does not seem to have a significant effect on supplier ex post transaction cost</w:t>
      </w:r>
      <w:r>
        <w:t>s</w:t>
      </w:r>
      <w:r w:rsidR="008E5FC8" w:rsidRPr="00605672">
        <w:t xml:space="preserve"> (Figure 2, Panel B2, lower-left corner). We </w:t>
      </w:r>
      <w:r w:rsidR="00F42F73">
        <w:t xml:space="preserve">explain </w:t>
      </w:r>
      <w:r w:rsidR="008E5FC8" w:rsidRPr="00605672">
        <w:t xml:space="preserve">this effect </w:t>
      </w:r>
      <w:r w:rsidR="00F42F73">
        <w:t>according to the reseller’s (</w:t>
      </w:r>
      <w:r w:rsidR="008E5FC8" w:rsidRPr="00605672">
        <w:t>1) generally lower motivation to realize the value that resides in the supplier’s incremental investments (which reduce</w:t>
      </w:r>
      <w:r w:rsidR="00F42F73">
        <w:t>s</w:t>
      </w:r>
      <w:r w:rsidR="008E5FC8" w:rsidRPr="00605672">
        <w:t xml:space="preserve"> costly interventions) and </w:t>
      </w:r>
      <w:r w:rsidR="00F42F73">
        <w:t>(</w:t>
      </w:r>
      <w:r w:rsidR="008E5FC8" w:rsidRPr="00605672">
        <w:t xml:space="preserve">2) lower ability to exploit the supplier’s increased vulnerability </w:t>
      </w:r>
      <w:r w:rsidR="00F42F73">
        <w:t xml:space="preserve">due to these </w:t>
      </w:r>
      <w:r w:rsidR="008E5FC8" w:rsidRPr="00605672">
        <w:t xml:space="preserve">investments. We </w:t>
      </w:r>
      <w:r w:rsidR="00F42F73">
        <w:t xml:space="preserve">do not mean </w:t>
      </w:r>
      <w:r w:rsidR="00F42F73">
        <w:lastRenderedPageBreak/>
        <w:t xml:space="preserve">to suggest that </w:t>
      </w:r>
      <w:r w:rsidR="008E5FC8" w:rsidRPr="00605672">
        <w:t>a low</w:t>
      </w:r>
      <w:r w:rsidR="00F42F73">
        <w:t xml:space="preserve"> </w:t>
      </w:r>
      <w:r w:rsidR="008E5FC8" w:rsidRPr="00605672">
        <w:t xml:space="preserve">ability reseller cannot exploit supplier lock-in, but they are in a weaker position </w:t>
      </w:r>
      <w:r w:rsidR="00F42F73">
        <w:t xml:space="preserve">to </w:t>
      </w:r>
      <w:r w:rsidR="008E5FC8" w:rsidRPr="00605672">
        <w:t xml:space="preserve">do so. Thus, incremental investments still </w:t>
      </w:r>
      <w:r w:rsidR="00F42F73">
        <w:t xml:space="preserve">can </w:t>
      </w:r>
      <w:r w:rsidR="008E5FC8" w:rsidRPr="00605672">
        <w:t xml:space="preserve">increase supplier ex post transaction costs on average (i.e., positive main effect), </w:t>
      </w:r>
      <w:r w:rsidR="00F42F73">
        <w:t xml:space="preserve">but the </w:t>
      </w:r>
      <w:r w:rsidR="008E5FC8" w:rsidRPr="00605672">
        <w:t>effect is not significant in relationships with low</w:t>
      </w:r>
      <w:r w:rsidR="00F42F73">
        <w:t xml:space="preserve"> </w:t>
      </w:r>
      <w:r w:rsidR="008E5FC8" w:rsidRPr="00605672">
        <w:t xml:space="preserve">ability resellers </w:t>
      </w:r>
      <w:r w:rsidR="00F42F73">
        <w:t xml:space="preserve">with </w:t>
      </w:r>
      <w:r w:rsidR="008E5FC8" w:rsidRPr="00605672">
        <w:t>lo</w:t>
      </w:r>
      <w:r w:rsidR="00F42F73">
        <w:t>w</w:t>
      </w:r>
      <w:r w:rsidR="008E5FC8" w:rsidRPr="00605672">
        <w:t xml:space="preserve"> motivation to realize the value that resides in the relationship. </w:t>
      </w:r>
    </w:p>
    <w:p w14:paraId="3B851739" w14:textId="65C5B22F" w:rsidR="008E5FC8" w:rsidRPr="00605672" w:rsidRDefault="008E5FC8" w:rsidP="008E5FC8">
      <w:pPr>
        <w:pStyle w:val="Heading2"/>
        <w:spacing w:after="0"/>
        <w:jc w:val="both"/>
        <w:rPr>
          <w:lang w:val="en-US"/>
        </w:rPr>
      </w:pPr>
      <w:r w:rsidRPr="00605672">
        <w:rPr>
          <w:lang w:val="en-US"/>
        </w:rPr>
        <w:t>Theoretical Implications</w:t>
      </w:r>
    </w:p>
    <w:p w14:paraId="7BD8C96F" w14:textId="3D5D6030" w:rsidR="008E5FC8" w:rsidRPr="00605672" w:rsidRDefault="008E5FC8" w:rsidP="008E5FC8">
      <w:pPr>
        <w:spacing w:line="480" w:lineRule="auto"/>
        <w:ind w:firstLine="720"/>
      </w:pPr>
      <w:r w:rsidRPr="00605672">
        <w:t xml:space="preserve">We identify four theoretical implications of our findings. First, our test of the dual roles </w:t>
      </w:r>
      <w:r w:rsidR="00CF5B28" w:rsidRPr="00605672">
        <w:t xml:space="preserve">of a firm’s </w:t>
      </w:r>
      <w:r w:rsidRPr="00605672">
        <w:t xml:space="preserve">governance </w:t>
      </w:r>
      <w:r w:rsidR="00CF5B28" w:rsidRPr="00605672">
        <w:t xml:space="preserve">choices </w:t>
      </w:r>
      <w:r w:rsidRPr="00605672">
        <w:t xml:space="preserve">extends past TCE research, which has often </w:t>
      </w:r>
      <w:r w:rsidR="00CF5B28" w:rsidRPr="00605672">
        <w:t xml:space="preserve">looked only at </w:t>
      </w:r>
      <w:r w:rsidRPr="00605672">
        <w:t xml:space="preserve">ex post safeguarding concerns and paid less attention to the conditions that motivate investments in the first place. </w:t>
      </w:r>
      <w:r w:rsidR="00F3323F">
        <w:t xml:space="preserve">Both </w:t>
      </w:r>
      <w:r w:rsidRPr="00605672">
        <w:t xml:space="preserve">initial reseller selection efforts and preexisting mutual asymmetric investments promote incremental investments in a channel relationship, but prior asymmetric investments in themselves </w:t>
      </w:r>
      <w:r w:rsidR="00F3323F">
        <w:t xml:space="preserve">do not </w:t>
      </w:r>
      <w:r w:rsidRPr="00605672">
        <w:t xml:space="preserve">have a corresponding safeguarding quality. More generally, the incentives that </w:t>
      </w:r>
      <w:r w:rsidR="00F3323F">
        <w:t xml:space="preserve">result from </w:t>
      </w:r>
      <w:r w:rsidRPr="00605672">
        <w:t>prior investments have a more limited range of effects than partner selection</w:t>
      </w:r>
      <w:r w:rsidR="006E3E7C" w:rsidRPr="00605672">
        <w:t xml:space="preserve"> efforts</w:t>
      </w:r>
      <w:r w:rsidRPr="00605672">
        <w:t>. However, in combination with selection</w:t>
      </w:r>
      <w:r w:rsidR="00BD49C2" w:rsidRPr="00605672">
        <w:t xml:space="preserve"> efforts</w:t>
      </w:r>
      <w:r w:rsidRPr="00605672">
        <w:t xml:space="preserve">, mutual asymmetric investments </w:t>
      </w:r>
      <w:r w:rsidR="00F3323F">
        <w:t xml:space="preserve">can limit </w:t>
      </w:r>
      <w:r w:rsidRPr="00605672">
        <w:t>transaction cost</w:t>
      </w:r>
      <w:r w:rsidR="00F3323F">
        <w:t xml:space="preserve">s, </w:t>
      </w:r>
      <w:r w:rsidRPr="00605672">
        <w:t xml:space="preserve">beyond the selection </w:t>
      </w:r>
      <w:r w:rsidR="00F3323F">
        <w:t>effect alone</w:t>
      </w:r>
      <w:r w:rsidRPr="00605672">
        <w:t>.</w:t>
      </w:r>
    </w:p>
    <w:p w14:paraId="46B49E76" w14:textId="5737D1C0" w:rsidR="008E5FC8" w:rsidRPr="00605672" w:rsidRDefault="008E5FC8" w:rsidP="008E5FC8">
      <w:pPr>
        <w:spacing w:line="480" w:lineRule="auto"/>
      </w:pPr>
      <w:r w:rsidRPr="00605672">
        <w:tab/>
        <w:t xml:space="preserve">Second, our findings provide insights into two aspects of relationship dynamics. The observation that selection efforts both motivate supplier investments ex ante </w:t>
      </w:r>
      <w:r w:rsidR="00AA5B5D" w:rsidRPr="00727D37">
        <w:t>and</w:t>
      </w:r>
      <w:r w:rsidRPr="00605672">
        <w:t xml:space="preserve"> </w:t>
      </w:r>
      <w:r w:rsidR="00836F34" w:rsidRPr="00605672">
        <w:t xml:space="preserve">help </w:t>
      </w:r>
      <w:r w:rsidRPr="00605672">
        <w:t xml:space="preserve">safeguard them ex post suggests that selection </w:t>
      </w:r>
      <w:r w:rsidR="00F3323F">
        <w:t xml:space="preserve">efforts have </w:t>
      </w:r>
      <w:r w:rsidRPr="00605672">
        <w:t>dynamic properties and serve as “stock</w:t>
      </w:r>
      <w:r w:rsidR="00F3323F">
        <w:t>s</w:t>
      </w:r>
      <w:r w:rsidRPr="00605672">
        <w:t xml:space="preserve">” </w:t>
      </w:r>
      <w:r w:rsidR="00F3323F">
        <w:t xml:space="preserve">with </w:t>
      </w:r>
      <w:r w:rsidRPr="00605672">
        <w:t xml:space="preserve">governance qualities </w:t>
      </w:r>
      <w:r w:rsidR="00F3323F">
        <w:t xml:space="preserve">that </w:t>
      </w:r>
      <w:r w:rsidRPr="00605672">
        <w:t xml:space="preserve">extend beyond the time of deployment. Furthermore, we add to the small body of literature </w:t>
      </w:r>
      <w:r w:rsidR="00F3323F">
        <w:t xml:space="preserve">that describes </w:t>
      </w:r>
      <w:r w:rsidR="00F3323F" w:rsidRPr="00605672">
        <w:t xml:space="preserve">how firms augment </w:t>
      </w:r>
      <w:r w:rsidR="00F3323F">
        <w:t xml:space="preserve">their </w:t>
      </w:r>
      <w:r w:rsidR="00F3323F" w:rsidRPr="00605672">
        <w:t>existing stock</w:t>
      </w:r>
      <w:r w:rsidR="00F3323F">
        <w:t>s</w:t>
      </w:r>
      <w:r w:rsidR="00F3323F" w:rsidRPr="00605672">
        <w:t xml:space="preserve"> of assets over time </w:t>
      </w:r>
      <w:r w:rsidRPr="00605672">
        <w:t xml:space="preserve">(e.g., Bensaou and Anderson 1999; Ghosh and John 2005). </w:t>
      </w:r>
      <w:r w:rsidR="00F3323F">
        <w:t>Although</w:t>
      </w:r>
      <w:r w:rsidRPr="00605672">
        <w:t xml:space="preserve"> TCE-related research often treat</w:t>
      </w:r>
      <w:r w:rsidR="00F3323F">
        <w:t>s</w:t>
      </w:r>
      <w:r w:rsidRPr="00605672">
        <w:t xml:space="preserve"> specific investment</w:t>
      </w:r>
      <w:r w:rsidR="00F3323F">
        <w:t>s</w:t>
      </w:r>
      <w:r w:rsidRPr="00605672">
        <w:t xml:space="preserve"> as an aggregate stock, we specifically distinguish between a firm’s original and subsequent investments, and </w:t>
      </w:r>
      <w:r w:rsidR="00F3323F">
        <w:t xml:space="preserve">we </w:t>
      </w:r>
      <w:r w:rsidRPr="00605672">
        <w:t xml:space="preserve">highlight conditions </w:t>
      </w:r>
      <w:r w:rsidR="00F3323F">
        <w:t xml:space="preserve">that might </w:t>
      </w:r>
      <w:r w:rsidRPr="00605672">
        <w:t>motivat</w:t>
      </w:r>
      <w:r w:rsidR="00F3323F">
        <w:t>e</w:t>
      </w:r>
      <w:r w:rsidRPr="00605672">
        <w:t xml:space="preserve"> an investor to make incremental commitments to an existing </w:t>
      </w:r>
      <w:r w:rsidR="00F3323F">
        <w:t xml:space="preserve">relationship </w:t>
      </w:r>
      <w:r w:rsidRPr="00605672">
        <w:t xml:space="preserve">base. </w:t>
      </w:r>
    </w:p>
    <w:p w14:paraId="1A2FE784" w14:textId="0C757161" w:rsidR="008E5FC8" w:rsidRPr="00605672" w:rsidRDefault="008E5FC8" w:rsidP="008E5FC8">
      <w:pPr>
        <w:spacing w:line="480" w:lineRule="auto"/>
      </w:pPr>
      <w:r w:rsidRPr="00605672">
        <w:lastRenderedPageBreak/>
        <w:tab/>
        <w:t xml:space="preserve">Third, we shed new light on drivers of transaction costs. </w:t>
      </w:r>
      <w:r w:rsidR="00F3323F">
        <w:t>S</w:t>
      </w:r>
      <w:r w:rsidRPr="00605672">
        <w:t xml:space="preserve">tandard TCE literature assumes that transaction costs are </w:t>
      </w:r>
      <w:r w:rsidR="00F3323F">
        <w:t xml:space="preserve">related to </w:t>
      </w:r>
      <w:r w:rsidRPr="00605672">
        <w:t>motivation</w:t>
      </w:r>
      <w:r w:rsidR="00F3323F">
        <w:t xml:space="preserve">, so </w:t>
      </w:r>
      <w:r w:rsidRPr="00605672">
        <w:t xml:space="preserve">much extant governance research focuses on how governance arrangements affect ongoing “motivational levers” (Gibbons and Roberts 2013). </w:t>
      </w:r>
      <w:r w:rsidR="00F3323F">
        <w:t xml:space="preserve">Such </w:t>
      </w:r>
      <w:r w:rsidRPr="00605672">
        <w:t>research is anchored in economic theories of governance</w:t>
      </w:r>
      <w:r w:rsidR="00F3323F">
        <w:t>,</w:t>
      </w:r>
      <w:r w:rsidRPr="00605672">
        <w:t xml:space="preserve"> which </w:t>
      </w:r>
      <w:r w:rsidR="00F3323F">
        <w:t xml:space="preserve">devote </w:t>
      </w:r>
      <w:r w:rsidRPr="00605672">
        <w:t xml:space="preserve">limited attention to partner ability (Oxley and Silverman 2008). We augment this perspective with sociological and agency theory (Bergen, Dutta, and Walker 1992; Stovel and Fountain 2009), as well as with prior studies in marketing (Heide and John 1990; Wuyts and Geyskens 2005), to show that selection efforts </w:t>
      </w:r>
      <w:r w:rsidR="00F3323F">
        <w:t xml:space="preserve">that </w:t>
      </w:r>
      <w:r w:rsidR="00BD49C2" w:rsidRPr="00605672">
        <w:t xml:space="preserve">reveal </w:t>
      </w:r>
      <w:r w:rsidRPr="00605672">
        <w:t>partner abilit</w:t>
      </w:r>
      <w:r w:rsidR="00F3323F">
        <w:t>ies</w:t>
      </w:r>
      <w:r w:rsidRPr="00605672">
        <w:t xml:space="preserve"> have important transaction cost implications. In general, our findings suggest that transaction costs have both motivation- and ability-related origins, </w:t>
      </w:r>
      <w:r w:rsidR="00F3323F">
        <w:t xml:space="preserve">so </w:t>
      </w:r>
      <w:r w:rsidRPr="00605672">
        <w:t>considering relationship governance strictly from the standpoint of managing partner motivation is too restrictive.</w:t>
      </w:r>
    </w:p>
    <w:p w14:paraId="3AD173D7" w14:textId="544A9938" w:rsidR="008E5FC8" w:rsidRPr="00605672" w:rsidRDefault="008E5FC8" w:rsidP="008E5FC8">
      <w:pPr>
        <w:spacing w:after="240" w:line="480" w:lineRule="auto"/>
      </w:pPr>
      <w:r w:rsidRPr="00605672">
        <w:tab/>
        <w:t xml:space="preserve">Fourth, our findings provide new insights into the “plural forms” thesis (Bradach and Eccles 1989, p. 97) by showing how “mixed courses of action” (Granovetter 2005, p. 35) </w:t>
      </w:r>
      <w:r w:rsidR="00F3323F">
        <w:t>determine</w:t>
      </w:r>
      <w:r w:rsidR="00F3323F" w:rsidRPr="00605672">
        <w:t xml:space="preserve"> </w:t>
      </w:r>
      <w:r w:rsidRPr="00605672">
        <w:t xml:space="preserve">transaction costs. Despite considerable enthusiasm for the general idea of governance combinations, there has been little theorizing about the specific ways individual governance </w:t>
      </w:r>
      <w:r w:rsidR="00773BBF" w:rsidRPr="00605672">
        <w:t>variables</w:t>
      </w:r>
      <w:r w:rsidRPr="00605672">
        <w:t xml:space="preserve"> combine to </w:t>
      </w:r>
      <w:r w:rsidR="00F3323F">
        <w:t xml:space="preserve">establish </w:t>
      </w:r>
      <w:r w:rsidRPr="00605672">
        <w:t>transaction costs. Our findings point to one particular scenario</w:t>
      </w:r>
      <w:r w:rsidR="00F3323F">
        <w:t>: C</w:t>
      </w:r>
      <w:r w:rsidRPr="00605672">
        <w:t xml:space="preserve">areful selection efforts, whose primary purpose is to ascertain reseller ability, in combination with mutual asymmetric investments, whose primary purpose is to ensure reseller motivation, serve to dampen transaction costs. Intuitively, </w:t>
      </w:r>
      <w:r w:rsidR="00F3323F">
        <w:t xml:space="preserve">we </w:t>
      </w:r>
      <w:r w:rsidRPr="00605672">
        <w:t xml:space="preserve">might speculate that mutual asymmetric investments would undermine selection effects or that the two serve as functional substitutes. </w:t>
      </w:r>
      <w:r w:rsidR="00F3323F">
        <w:t xml:space="preserve">Instead, our </w:t>
      </w:r>
      <w:r w:rsidRPr="00605672">
        <w:t xml:space="preserve">results suggest </w:t>
      </w:r>
      <w:r w:rsidR="00AA5B5D" w:rsidRPr="00727D37">
        <w:t>complementarity</w:t>
      </w:r>
      <w:r w:rsidRPr="00605672">
        <w:t xml:space="preserve"> between reseller ability (ascertained through selection) and motivation (induced by mutual asymmetric investments).</w:t>
      </w:r>
    </w:p>
    <w:p w14:paraId="1055E47D" w14:textId="77777777" w:rsidR="008E5FC8" w:rsidRPr="00605672" w:rsidRDefault="008E5FC8" w:rsidP="008E5FC8">
      <w:pPr>
        <w:pStyle w:val="Heading2"/>
        <w:spacing w:before="0" w:after="0"/>
        <w:rPr>
          <w:lang w:val="en-US"/>
        </w:rPr>
      </w:pPr>
      <w:r w:rsidRPr="00605672">
        <w:rPr>
          <w:lang w:val="en-US"/>
        </w:rPr>
        <w:lastRenderedPageBreak/>
        <w:t>Managerial Implications</w:t>
      </w:r>
    </w:p>
    <w:p w14:paraId="4A2B39AB" w14:textId="04474278" w:rsidR="008E5FC8" w:rsidRPr="00605672" w:rsidRDefault="008E5FC8" w:rsidP="008E5FC8">
      <w:pPr>
        <w:spacing w:line="480" w:lineRule="auto"/>
        <w:ind w:firstLine="720"/>
      </w:pPr>
      <w:r w:rsidRPr="00605672">
        <w:t xml:space="preserve">Our findings point to some important, heretofore unexplored differences </w:t>
      </w:r>
      <w:r w:rsidR="00F3323F">
        <w:t xml:space="preserve">among </w:t>
      </w:r>
      <w:r w:rsidRPr="00605672">
        <w:t xml:space="preserve">governance arrangements. </w:t>
      </w:r>
      <w:r w:rsidR="00F3323F">
        <w:t xml:space="preserve">The </w:t>
      </w:r>
      <w:r w:rsidRPr="00605672">
        <w:t xml:space="preserve">inability of mutual asymmetric investments to suppress transaction costs </w:t>
      </w:r>
      <w:r w:rsidR="00F3323F">
        <w:t xml:space="preserve">by themselves </w:t>
      </w:r>
      <w:r w:rsidRPr="00605672">
        <w:t xml:space="preserve">serves as a cautionary tale. </w:t>
      </w:r>
      <w:r w:rsidR="00F3323F">
        <w:t xml:space="preserve">That is, our </w:t>
      </w:r>
      <w:r w:rsidRPr="00605672">
        <w:t xml:space="preserve">finding that mutual asymmetric investments promote investments but fail to </w:t>
      </w:r>
      <w:r w:rsidR="00F3323F">
        <w:t xml:space="preserve">function </w:t>
      </w:r>
      <w:r w:rsidRPr="00605672">
        <w:t>as ongoing safeguard</w:t>
      </w:r>
      <w:r w:rsidR="00F3323F">
        <w:t>s</w:t>
      </w:r>
      <w:r w:rsidRPr="00605672">
        <w:t xml:space="preserve"> </w:t>
      </w:r>
      <w:r w:rsidR="00F3323F">
        <w:t xml:space="preserve">offers </w:t>
      </w:r>
      <w:r w:rsidRPr="00605672">
        <w:t xml:space="preserve">a warning to firms </w:t>
      </w:r>
      <w:r w:rsidR="00F3323F">
        <w:t xml:space="preserve">that </w:t>
      </w:r>
      <w:r w:rsidRPr="00605672">
        <w:t xml:space="preserve">consider such structures part of their menu of governance options. </w:t>
      </w:r>
    </w:p>
    <w:p w14:paraId="5CB5C78D" w14:textId="27981C50" w:rsidR="004A1B6C" w:rsidRDefault="00F3323F" w:rsidP="00727D37">
      <w:pPr>
        <w:spacing w:line="480" w:lineRule="auto"/>
        <w:ind w:firstLine="720"/>
      </w:pPr>
      <w:r>
        <w:t>S</w:t>
      </w:r>
      <w:r w:rsidR="008E5FC8" w:rsidRPr="00605672">
        <w:t>election</w:t>
      </w:r>
      <w:r w:rsidR="009470B0" w:rsidRPr="00605672">
        <w:t xml:space="preserve"> efforts</w:t>
      </w:r>
      <w:r w:rsidR="008E5FC8" w:rsidRPr="00605672">
        <w:t xml:space="preserve"> </w:t>
      </w:r>
      <w:r w:rsidR="009470B0" w:rsidRPr="00605672">
        <w:t xml:space="preserve">have </w:t>
      </w:r>
      <w:r w:rsidR="008E5FC8" w:rsidRPr="00605672">
        <w:t xml:space="preserve">a greater range of effects than mutual asymmetric investments. </w:t>
      </w:r>
      <w:r>
        <w:t>R</w:t>
      </w:r>
      <w:r w:rsidR="008E5FC8" w:rsidRPr="00605672">
        <w:t xml:space="preserve">elationship researchers sometimes question the role </w:t>
      </w:r>
      <w:r>
        <w:t xml:space="preserve">of </w:t>
      </w:r>
      <w:r w:rsidR="008E5FC8" w:rsidRPr="00605672">
        <w:t>selection as a governance mechanism (</w:t>
      </w:r>
      <w:r>
        <w:t xml:space="preserve">e.g., </w:t>
      </w:r>
      <w:r w:rsidR="008E5FC8" w:rsidRPr="00605672">
        <w:t xml:space="preserve">Dacin, Reid, and Ring 2008). </w:t>
      </w:r>
      <w:r>
        <w:t>T</w:t>
      </w:r>
      <w:r w:rsidR="008E5FC8" w:rsidRPr="00605672">
        <w:t xml:space="preserve">he well-documented prevalence of underperforming relationships </w:t>
      </w:r>
      <w:r>
        <w:t xml:space="preserve">and </w:t>
      </w:r>
      <w:r w:rsidR="008E5FC8" w:rsidRPr="00605672">
        <w:t xml:space="preserve">outright failures has caused speculation about whether firms make sufficient efforts to screen their partners in the first place, </w:t>
      </w:r>
      <w:r>
        <w:t xml:space="preserve">as well as </w:t>
      </w:r>
      <w:r w:rsidR="008E5FC8" w:rsidRPr="00605672">
        <w:t>whether formal selection efforts actually have governance implications. Our study suggests that selection is important</w:t>
      </w:r>
      <w:r>
        <w:t xml:space="preserve">; </w:t>
      </w:r>
      <w:r w:rsidR="008E5FC8" w:rsidRPr="00605672">
        <w:t>it</w:t>
      </w:r>
      <w:r w:rsidR="00773BBF" w:rsidRPr="00605672">
        <w:t>s</w:t>
      </w:r>
      <w:r w:rsidR="008E5FC8" w:rsidRPr="00605672">
        <w:t xml:space="preserve"> role in a relationship goes beyond screening per se. </w:t>
      </w:r>
      <w:r>
        <w:t>However, such</w:t>
      </w:r>
      <w:r w:rsidR="008E5FC8" w:rsidRPr="00605672">
        <w:t xml:space="preserve"> selection efforts </w:t>
      </w:r>
      <w:r>
        <w:t xml:space="preserve">also </w:t>
      </w:r>
      <w:r w:rsidR="008E5FC8" w:rsidRPr="00605672">
        <w:t xml:space="preserve">impose costs. For </w:t>
      </w:r>
      <w:r>
        <w:t>example</w:t>
      </w:r>
      <w:r w:rsidR="008E5FC8" w:rsidRPr="00605672">
        <w:t xml:space="preserve">, </w:t>
      </w:r>
      <w:r>
        <w:t xml:space="preserve">the </w:t>
      </w:r>
      <w:r w:rsidR="008E5FC8" w:rsidRPr="00605672">
        <w:t xml:space="preserve">supplier </w:t>
      </w:r>
      <w:r>
        <w:t xml:space="preserve">likely </w:t>
      </w:r>
      <w:r w:rsidR="008E5FC8" w:rsidRPr="00605672">
        <w:t>incur</w:t>
      </w:r>
      <w:r>
        <w:t>s</w:t>
      </w:r>
      <w:r w:rsidR="008E5FC8" w:rsidRPr="00605672">
        <w:t xml:space="preserve"> costs in connection with data collection, interviews, and site visits (Liker and Choi 2004). </w:t>
      </w:r>
      <w:r>
        <w:t>Still</w:t>
      </w:r>
      <w:r w:rsidR="008E5FC8" w:rsidRPr="00605672">
        <w:t>, our results show that selection efforts pay off for supplier</w:t>
      </w:r>
      <w:r>
        <w:t>s</w:t>
      </w:r>
      <w:r w:rsidR="008E5FC8" w:rsidRPr="00605672">
        <w:t xml:space="preserve">, in several ways. As a governance strategy, selection efforts </w:t>
      </w:r>
      <w:r>
        <w:t xml:space="preserve">thus appear </w:t>
      </w:r>
      <w:r w:rsidR="008E5FC8" w:rsidRPr="00605672">
        <w:t xml:space="preserve">easy to justify. </w:t>
      </w:r>
    </w:p>
    <w:p w14:paraId="44B5593E" w14:textId="1182F56B" w:rsidR="008E5FC8" w:rsidRPr="00605672" w:rsidRDefault="008E5FC8" w:rsidP="008E5FC8">
      <w:pPr>
        <w:pStyle w:val="Heading2"/>
        <w:spacing w:before="0" w:after="0"/>
        <w:rPr>
          <w:lang w:val="en-US"/>
        </w:rPr>
      </w:pPr>
      <w:r w:rsidRPr="00605672">
        <w:rPr>
          <w:lang w:val="en-US"/>
        </w:rPr>
        <w:t xml:space="preserve">Limitations and </w:t>
      </w:r>
      <w:r w:rsidR="00F3323F">
        <w:rPr>
          <w:lang w:val="en-US"/>
        </w:rPr>
        <w:t xml:space="preserve">Further </w:t>
      </w:r>
      <w:r w:rsidRPr="00605672">
        <w:rPr>
          <w:lang w:val="en-US"/>
        </w:rPr>
        <w:t>Research</w:t>
      </w:r>
    </w:p>
    <w:p w14:paraId="7C2D8460" w14:textId="5F68C4F2" w:rsidR="008E5FC8" w:rsidRPr="00605672" w:rsidRDefault="008E5FC8" w:rsidP="008E5FC8">
      <w:pPr>
        <w:spacing w:line="480" w:lineRule="auto"/>
        <w:ind w:firstLine="720"/>
      </w:pPr>
      <w:r w:rsidRPr="00605672">
        <w:t>The results of our study must be viewed against the backdrop of certain limitations. First, we tested our theoretical framework in a particular industry. Restricting our empirical test in this fashion enabled us to develop context-sensitive measures and eliminate alternative explanations for our findings, but caution should be used in extrapolating our results to other contexts. Our particular setting is a conventional distribution channel</w:t>
      </w:r>
      <w:r w:rsidR="00F3323F">
        <w:t xml:space="preserve">; </w:t>
      </w:r>
      <w:r w:rsidRPr="00605672">
        <w:t xml:space="preserve">a possible avenue for </w:t>
      </w:r>
      <w:r w:rsidR="00F3323F">
        <w:t xml:space="preserve">further </w:t>
      </w:r>
      <w:r w:rsidRPr="00605672">
        <w:t xml:space="preserve">research </w:t>
      </w:r>
      <w:r w:rsidR="00F3323F">
        <w:t xml:space="preserve">would be </w:t>
      </w:r>
      <w:r w:rsidRPr="00605672">
        <w:t>to test the theoretical predictions in other contexts.</w:t>
      </w:r>
    </w:p>
    <w:p w14:paraId="793C4371" w14:textId="5CC95A14" w:rsidR="008E5FC8" w:rsidRPr="00F3323F" w:rsidRDefault="008E5FC8" w:rsidP="008E5FC8">
      <w:pPr>
        <w:spacing w:line="480" w:lineRule="auto"/>
        <w:ind w:firstLine="720"/>
      </w:pPr>
      <w:r w:rsidRPr="00F3323F">
        <w:lastRenderedPageBreak/>
        <w:t xml:space="preserve">Second, we tested the effects of two particular governance variables, selection </w:t>
      </w:r>
      <w:r w:rsidR="009470B0" w:rsidRPr="00F3323F">
        <w:t xml:space="preserve">efforts </w:t>
      </w:r>
      <w:r w:rsidRPr="00F3323F">
        <w:t xml:space="preserve">and asymmetric mutual specific investments. </w:t>
      </w:r>
      <w:r w:rsidR="00FC679E">
        <w:t>These</w:t>
      </w:r>
      <w:r w:rsidRPr="00F3323F">
        <w:t xml:space="preserve"> two </w:t>
      </w:r>
      <w:r w:rsidR="00FC679E">
        <w:t xml:space="preserve">options clearly do not </w:t>
      </w:r>
      <w:r w:rsidRPr="00F3323F">
        <w:t xml:space="preserve">exhaust the pool of governance arrangements available to firms, and our current framework could be expanded to include a wider range. In addition, </w:t>
      </w:r>
      <w:r w:rsidR="00FC679E">
        <w:t xml:space="preserve">though </w:t>
      </w:r>
      <w:r w:rsidRPr="00F3323F">
        <w:t xml:space="preserve">our approach to capturing reseller selection efforts is consistent with </w:t>
      </w:r>
      <w:r w:rsidR="00AA5B5D" w:rsidRPr="00727D37">
        <w:rPr>
          <w:rFonts w:eastAsia="Times New Roman"/>
          <w:color w:val="000000"/>
        </w:rPr>
        <w:t xml:space="preserve">existing literature (e.g., Antia, Mani, </w:t>
      </w:r>
      <w:r w:rsidR="00FC679E">
        <w:rPr>
          <w:rFonts w:eastAsia="Times New Roman"/>
          <w:color w:val="000000"/>
        </w:rPr>
        <w:t xml:space="preserve">and </w:t>
      </w:r>
      <w:r w:rsidR="00AA5B5D" w:rsidRPr="00727D37">
        <w:rPr>
          <w:rFonts w:eastAsia="Times New Roman"/>
          <w:color w:val="000000"/>
        </w:rPr>
        <w:t xml:space="preserve">Wathne 2017; Heide and John 1990; Wathne and Heide 2004), we </w:t>
      </w:r>
      <w:r w:rsidR="00FC679E">
        <w:rPr>
          <w:rFonts w:eastAsia="Times New Roman"/>
          <w:color w:val="000000"/>
        </w:rPr>
        <w:t xml:space="preserve">do not </w:t>
      </w:r>
      <w:r w:rsidR="00AA5B5D" w:rsidRPr="00727D37">
        <w:rPr>
          <w:rFonts w:eastAsia="Times New Roman"/>
          <w:color w:val="000000"/>
        </w:rPr>
        <w:t>explicitly model selection</w:t>
      </w:r>
      <w:r w:rsidR="00FC679E">
        <w:rPr>
          <w:rFonts w:eastAsia="Times New Roman"/>
          <w:color w:val="000000"/>
        </w:rPr>
        <w:t>,</w:t>
      </w:r>
      <w:r w:rsidR="00AA5B5D" w:rsidRPr="00727D37">
        <w:rPr>
          <w:rFonts w:eastAsia="Times New Roman"/>
          <w:color w:val="000000"/>
        </w:rPr>
        <w:t xml:space="preserve"> in the sense of an actual choice (e.g., </w:t>
      </w:r>
      <w:r w:rsidR="00AA5B5D" w:rsidRPr="00727D37">
        <w:rPr>
          <w:rFonts w:eastAsia="Times New Roman" w:hint="eastAsia"/>
          <w:color w:val="000000"/>
        </w:rPr>
        <w:t>“</w:t>
      </w:r>
      <w:r w:rsidR="00AA5B5D" w:rsidRPr="00727D37">
        <w:rPr>
          <w:rFonts w:eastAsia="Times New Roman"/>
          <w:color w:val="000000"/>
        </w:rPr>
        <w:t>Reseller A over Reseller B</w:t>
      </w:r>
      <w:r w:rsidR="00AA5B5D" w:rsidRPr="00727D37">
        <w:rPr>
          <w:rFonts w:eastAsia="Times New Roman" w:hint="eastAsia"/>
          <w:color w:val="000000"/>
        </w:rPr>
        <w:t>”</w:t>
      </w:r>
      <w:r w:rsidR="00AA5B5D" w:rsidRPr="00727D37">
        <w:rPr>
          <w:rFonts w:eastAsia="Times New Roman"/>
          <w:color w:val="000000"/>
        </w:rPr>
        <w:t xml:space="preserve">). Exploring </w:t>
      </w:r>
      <w:r w:rsidR="00FC679E">
        <w:rPr>
          <w:rFonts w:eastAsia="Times New Roman"/>
          <w:color w:val="000000"/>
        </w:rPr>
        <w:t xml:space="preserve">such a </w:t>
      </w:r>
      <w:r w:rsidR="00836F34" w:rsidRPr="00F3323F">
        <w:rPr>
          <w:rFonts w:eastAsia="Times New Roman"/>
          <w:color w:val="000000"/>
        </w:rPr>
        <w:t>scenario</w:t>
      </w:r>
      <w:r w:rsidRPr="00F3323F">
        <w:rPr>
          <w:rFonts w:eastAsia="Times New Roman"/>
          <w:color w:val="000000"/>
        </w:rPr>
        <w:t xml:space="preserve"> would pose significant challenges </w:t>
      </w:r>
      <w:r w:rsidR="00FC679E">
        <w:rPr>
          <w:rFonts w:eastAsia="Times New Roman"/>
          <w:color w:val="000000"/>
        </w:rPr>
        <w:t xml:space="preserve">for </w:t>
      </w:r>
      <w:r w:rsidRPr="00F3323F">
        <w:rPr>
          <w:rFonts w:eastAsia="Times New Roman"/>
          <w:color w:val="000000"/>
        </w:rPr>
        <w:t xml:space="preserve">collecting primary data </w:t>
      </w:r>
      <w:r w:rsidR="00FC679E">
        <w:rPr>
          <w:rFonts w:eastAsia="Times New Roman"/>
          <w:color w:val="000000"/>
        </w:rPr>
        <w:t xml:space="preserve">about the </w:t>
      </w:r>
      <w:r w:rsidRPr="00F3323F">
        <w:rPr>
          <w:rFonts w:eastAsia="Times New Roman"/>
          <w:color w:val="000000"/>
        </w:rPr>
        <w:t>non-chosen resellers. However, studies</w:t>
      </w:r>
      <w:r w:rsidR="00FC679E">
        <w:rPr>
          <w:rFonts w:eastAsia="Times New Roman"/>
          <w:color w:val="000000"/>
        </w:rPr>
        <w:t xml:space="preserve"> that </w:t>
      </w:r>
      <w:r w:rsidRPr="00F3323F">
        <w:rPr>
          <w:rFonts w:eastAsia="Times New Roman"/>
          <w:color w:val="000000"/>
        </w:rPr>
        <w:t>synthesi</w:t>
      </w:r>
      <w:r w:rsidR="00FC679E">
        <w:rPr>
          <w:rFonts w:eastAsia="Times New Roman"/>
          <w:color w:val="000000"/>
        </w:rPr>
        <w:t>ze</w:t>
      </w:r>
      <w:r w:rsidRPr="00F3323F">
        <w:rPr>
          <w:rFonts w:eastAsia="Times New Roman"/>
          <w:color w:val="000000"/>
        </w:rPr>
        <w:t xml:space="preserve"> </w:t>
      </w:r>
      <w:r w:rsidRPr="00F3323F">
        <w:rPr>
          <w:rFonts w:eastAsiaTheme="minorHAnsi"/>
        </w:rPr>
        <w:t>longitudinal</w:t>
      </w:r>
      <w:r w:rsidR="00FC679E">
        <w:rPr>
          <w:rFonts w:eastAsiaTheme="minorHAnsi"/>
        </w:rPr>
        <w:t>,</w:t>
      </w:r>
      <w:r w:rsidRPr="00F3323F">
        <w:rPr>
          <w:rFonts w:eastAsiaTheme="minorHAnsi"/>
        </w:rPr>
        <w:t xml:space="preserve"> primary data collection</w:t>
      </w:r>
      <w:r w:rsidR="00FC679E">
        <w:rPr>
          <w:rFonts w:eastAsiaTheme="minorHAnsi"/>
        </w:rPr>
        <w:t>s</w:t>
      </w:r>
      <w:r w:rsidRPr="00F3323F">
        <w:rPr>
          <w:rFonts w:eastAsiaTheme="minorHAnsi"/>
        </w:rPr>
        <w:t xml:space="preserve"> </w:t>
      </w:r>
      <w:r w:rsidR="00FC679E">
        <w:rPr>
          <w:rFonts w:eastAsiaTheme="minorHAnsi"/>
        </w:rPr>
        <w:t xml:space="preserve">with </w:t>
      </w:r>
      <w:r w:rsidRPr="00F3323F">
        <w:rPr>
          <w:rFonts w:eastAsiaTheme="minorHAnsi"/>
        </w:rPr>
        <w:t xml:space="preserve">existing archival data could address this limitation. </w:t>
      </w:r>
    </w:p>
    <w:p w14:paraId="17F44DE6" w14:textId="21116E34" w:rsidR="008E5FC8" w:rsidRPr="00605672" w:rsidRDefault="008E5FC8" w:rsidP="008E5FC8">
      <w:pPr>
        <w:spacing w:line="480" w:lineRule="auto"/>
        <w:rPr>
          <w:rFonts w:eastAsia="Times New Roman"/>
          <w:i/>
          <w:szCs w:val="20"/>
        </w:rPr>
      </w:pPr>
      <w:r w:rsidRPr="00605672">
        <w:tab/>
        <w:t xml:space="preserve">Third, our results point to </w:t>
      </w:r>
      <w:r w:rsidR="00FC679E">
        <w:t xml:space="preserve">some </w:t>
      </w:r>
      <w:r w:rsidRPr="00605672">
        <w:t>inherent limitations of mutual asymmetric investments</w:t>
      </w:r>
      <w:r w:rsidR="00FC679E">
        <w:t xml:space="preserve">, </w:t>
      </w:r>
      <w:r w:rsidRPr="00605672">
        <w:t>tied to firm-level characteristics</w:t>
      </w:r>
      <w:r w:rsidR="001648CE">
        <w:t>—</w:t>
      </w:r>
      <w:r w:rsidRPr="00605672">
        <w:t>namely</w:t>
      </w:r>
      <w:r w:rsidR="00FC679E">
        <w:t>, the</w:t>
      </w:r>
      <w:r w:rsidRPr="00605672">
        <w:t xml:space="preserve"> lack of reseller ability undermines the motivational effect of mutual investments. Beyond firm-level characteristics, industry-level variables </w:t>
      </w:r>
      <w:r w:rsidR="00FC679E">
        <w:t xml:space="preserve">could </w:t>
      </w:r>
      <w:r w:rsidRPr="00605672">
        <w:t xml:space="preserve">serve as boundary conditions </w:t>
      </w:r>
      <w:r w:rsidR="00FC679E">
        <w:t xml:space="preserve">that determine </w:t>
      </w:r>
      <w:r w:rsidRPr="00605672">
        <w:t xml:space="preserve">the effects </w:t>
      </w:r>
      <w:r w:rsidR="001648CE">
        <w:t xml:space="preserve">of </w:t>
      </w:r>
      <w:r w:rsidRPr="00605672">
        <w:t xml:space="preserve">mutual asymmetric investments. For </w:t>
      </w:r>
      <w:r w:rsidR="00FC679E">
        <w:t>example</w:t>
      </w:r>
      <w:r w:rsidRPr="00605672">
        <w:t xml:space="preserve">, rapid technological change poses </w:t>
      </w:r>
      <w:r w:rsidR="00FC679E">
        <w:t>the</w:t>
      </w:r>
      <w:r w:rsidRPr="00605672">
        <w:t xml:space="preserve"> risk of asset obsolescence, which may decrease the value of the assets in question</w:t>
      </w:r>
      <w:r w:rsidR="00AA5B5D" w:rsidRPr="00605672">
        <w:fldChar w:fldCharType="begin"/>
      </w:r>
      <w:r w:rsidRPr="00605672">
        <w:instrText xml:space="preserve"> ADDIN EN.CITE &lt;EndNote&gt;&lt;Cite&gt;&lt;Author&gt;Gulati&lt;/Author&gt;&lt;Year&gt;1994&lt;/Year&gt;&lt;RecNum&gt;331&lt;/RecNum&gt;&lt;record&gt;&lt;rec-number&gt;331&lt;/rec-number&gt;&lt;foreign-keys&gt;&lt;key app="EN" db-id="ssraf95pgs2af9erzvi5ztaba2trtwdfwv05"&gt;331&lt;/key&gt;&lt;/foreign-keys&gt;&lt;ref-type name="Journal Article"&gt;17&lt;/ref-type&gt;&lt;contributors&gt;&lt;authors&gt;&lt;author&gt;Gulati, Ranjay&lt;/author&gt;&lt;author&gt;Khanna, Tarun&lt;/author&gt;&lt;author&gt;Nohria, Nitin&lt;/author&gt;&lt;/authors&gt;&lt;/contributors&gt;&lt;titles&gt;&lt;title&gt;Unilateral Commitments and the Importance of Process in Alliances&lt;/title&gt;&lt;secondary-title&gt;Sloan Management Review&lt;/secondary-title&gt;&lt;/titles&gt;&lt;periodical&gt;&lt;full-title&gt;Sloan Management Review&lt;/full-title&gt;&lt;/periodical&gt;&lt;pages&gt;61-69&lt;/pages&gt;&lt;volume&gt;35&lt;/volume&gt;&lt;number&gt;3&lt;/number&gt;&lt;dates&gt;&lt;year&gt;1994&lt;/year&gt;&lt;/dates&gt;&lt;urls&gt;&lt;/urls&gt;&lt;/record&gt;&lt;/Cite&gt;&lt;/EndNote&gt;</w:instrText>
      </w:r>
      <w:r w:rsidR="00AA5B5D" w:rsidRPr="00605672">
        <w:fldChar w:fldCharType="end"/>
      </w:r>
      <w:r w:rsidRPr="00605672">
        <w:t xml:space="preserve">. Similarly, rapid change may make prior assessments of partner ability obsolete. </w:t>
      </w:r>
      <w:r w:rsidR="00FC679E">
        <w:t>Additional</w:t>
      </w:r>
      <w:r w:rsidRPr="00605672">
        <w:t xml:space="preserve"> research could be directed toward examining the role </w:t>
      </w:r>
      <w:r w:rsidR="00FC679E">
        <w:t xml:space="preserve">of </w:t>
      </w:r>
      <w:r w:rsidRPr="00605672">
        <w:t xml:space="preserve">different governance arrangements in marketing relationships and the conditions </w:t>
      </w:r>
      <w:r w:rsidR="00FC679E">
        <w:t xml:space="preserve">that determine </w:t>
      </w:r>
      <w:r w:rsidRPr="00605672">
        <w:t>their effects.</w:t>
      </w:r>
    </w:p>
    <w:p w14:paraId="125D302C" w14:textId="77777777" w:rsidR="00FC4E54" w:rsidRPr="00605672" w:rsidRDefault="00FC4E54">
      <w:pPr>
        <w:rPr>
          <w:i/>
        </w:rPr>
      </w:pPr>
      <w:r w:rsidRPr="00605672">
        <w:rPr>
          <w:i/>
        </w:rPr>
        <w:br w:type="page"/>
      </w:r>
    </w:p>
    <w:p w14:paraId="1C0DC3A1" w14:textId="77777777" w:rsidR="0093339F" w:rsidRPr="00605672" w:rsidRDefault="00C61F76">
      <w:pPr>
        <w:jc w:val="center"/>
        <w:rPr>
          <w:i/>
        </w:rPr>
      </w:pPr>
      <w:r w:rsidRPr="00605672">
        <w:rPr>
          <w:i/>
        </w:rPr>
        <w:lastRenderedPageBreak/>
        <w:t>R</w:t>
      </w:r>
      <w:r w:rsidR="00917230" w:rsidRPr="00605672">
        <w:rPr>
          <w:i/>
        </w:rPr>
        <w:t>EFERENCES</w:t>
      </w:r>
    </w:p>
    <w:p w14:paraId="5716C171" w14:textId="77777777" w:rsidR="0093339F" w:rsidRPr="00605672" w:rsidRDefault="0093339F" w:rsidP="0093339F">
      <w:pPr>
        <w:rPr>
          <w:i/>
        </w:rPr>
      </w:pPr>
    </w:p>
    <w:p w14:paraId="1F07F09B" w14:textId="34BD8454" w:rsidR="0022244D" w:rsidRPr="00605672" w:rsidRDefault="0022244D" w:rsidP="004A1B6C">
      <w:pPr>
        <w:widowControl w:val="0"/>
        <w:autoSpaceDE w:val="0"/>
        <w:autoSpaceDN w:val="0"/>
        <w:adjustRightInd w:val="0"/>
        <w:spacing w:beforeLines="50" w:before="120" w:afterLines="50" w:after="120"/>
      </w:pPr>
      <w:r w:rsidRPr="00605672">
        <w:t>Aiken, Leona S</w:t>
      </w:r>
      <w:r w:rsidR="00720ED9">
        <w:t>.</w:t>
      </w:r>
      <w:r w:rsidRPr="00605672">
        <w:t xml:space="preserve"> and Stephen G</w:t>
      </w:r>
      <w:r w:rsidR="00720ED9">
        <w:t>.</w:t>
      </w:r>
      <w:r w:rsidRPr="00605672">
        <w:t xml:space="preserve"> West (1991), </w:t>
      </w:r>
      <w:r w:rsidR="00AA5B5D" w:rsidRPr="00727D37">
        <w:rPr>
          <w:i/>
        </w:rPr>
        <w:t>Multiple Regression: Testing and Interpreting Interactions</w:t>
      </w:r>
      <w:r w:rsidRPr="00605672">
        <w:t>. Thousand Oaks, CA: Sage.</w:t>
      </w:r>
    </w:p>
    <w:p w14:paraId="0EA63B02" w14:textId="658A5046" w:rsidR="0022244D" w:rsidRPr="00605672" w:rsidRDefault="0022244D">
      <w:pPr>
        <w:widowControl w:val="0"/>
        <w:autoSpaceDE w:val="0"/>
        <w:autoSpaceDN w:val="0"/>
        <w:adjustRightInd w:val="0"/>
        <w:spacing w:beforeLines="50" w:before="120" w:afterLines="50" w:after="120"/>
      </w:pPr>
      <w:r w:rsidRPr="00605672">
        <w:t>Alchian, Armen A</w:t>
      </w:r>
      <w:r w:rsidR="00720ED9">
        <w:t>.</w:t>
      </w:r>
      <w:r w:rsidRPr="00605672">
        <w:t xml:space="preserve"> and Susan Woodward (1988), "The Firm is Dead; Long Live the Firm. A Review of Oliver E. Williamson's The Economic Institutions of Capitalism," </w:t>
      </w:r>
      <w:r w:rsidRPr="00605672">
        <w:rPr>
          <w:i/>
          <w:iCs/>
        </w:rPr>
        <w:t>Journal of Economic Literature</w:t>
      </w:r>
      <w:r w:rsidRPr="00605672">
        <w:t>, 26 (1), 65</w:t>
      </w:r>
      <w:r w:rsidR="00701DF1">
        <w:t>–</w:t>
      </w:r>
      <w:r w:rsidRPr="00605672">
        <w:t>79.</w:t>
      </w:r>
    </w:p>
    <w:p w14:paraId="1A328742" w14:textId="06366B65" w:rsidR="0022244D" w:rsidRPr="00605672" w:rsidRDefault="0022244D">
      <w:pPr>
        <w:widowControl w:val="0"/>
        <w:autoSpaceDE w:val="0"/>
        <w:autoSpaceDN w:val="0"/>
        <w:adjustRightInd w:val="0"/>
        <w:spacing w:beforeLines="50" w:before="120" w:afterLines="50" w:after="120"/>
      </w:pPr>
      <w:r w:rsidRPr="00605672">
        <w:t>Anderson, Erin and Anne T</w:t>
      </w:r>
      <w:r w:rsidR="00701DF1">
        <w:t>.</w:t>
      </w:r>
      <w:r w:rsidRPr="00605672">
        <w:t xml:space="preserve"> Coughlan (2002), "Channel Management: Structure, Governance, and Relationship Management," in </w:t>
      </w:r>
      <w:r w:rsidRPr="00605672">
        <w:rPr>
          <w:i/>
          <w:iCs/>
        </w:rPr>
        <w:t>Handbook of Marketing</w:t>
      </w:r>
      <w:r w:rsidRPr="00605672">
        <w:t>, Barton A. Weitz and Robin Wensley, eds. London: Sage Publications.</w:t>
      </w:r>
    </w:p>
    <w:p w14:paraId="1F7BA60D" w14:textId="77655308" w:rsidR="0022244D" w:rsidRPr="00605672" w:rsidRDefault="00701DF1">
      <w:pPr>
        <w:widowControl w:val="0"/>
        <w:autoSpaceDE w:val="0"/>
        <w:autoSpaceDN w:val="0"/>
        <w:adjustRightInd w:val="0"/>
        <w:spacing w:beforeLines="50" w:before="120" w:afterLines="50" w:after="120"/>
      </w:pPr>
      <w:r>
        <w:t xml:space="preserve">——— </w:t>
      </w:r>
      <w:r w:rsidR="0022244D" w:rsidRPr="00605672">
        <w:t xml:space="preserve">and Sandy D Jap (2005), "The Dark Side of Close Relationships," </w:t>
      </w:r>
      <w:r w:rsidR="0022244D" w:rsidRPr="00605672">
        <w:rPr>
          <w:i/>
          <w:iCs/>
        </w:rPr>
        <w:t>MIT Sloan Management Review</w:t>
      </w:r>
      <w:r w:rsidR="0022244D" w:rsidRPr="00605672">
        <w:t>, 46 (3), 75</w:t>
      </w:r>
      <w:r>
        <w:t>–</w:t>
      </w:r>
      <w:r w:rsidR="0022244D" w:rsidRPr="00605672">
        <w:t>82.</w:t>
      </w:r>
    </w:p>
    <w:p w14:paraId="659E079A" w14:textId="05F9A667" w:rsidR="0022244D" w:rsidRPr="00605672" w:rsidRDefault="00701DF1">
      <w:pPr>
        <w:widowControl w:val="0"/>
        <w:adjustRightInd w:val="0"/>
        <w:spacing w:beforeLines="50" w:before="120" w:afterLines="50" w:after="120"/>
      </w:pPr>
      <w:r>
        <w:t xml:space="preserve">——— </w:t>
      </w:r>
      <w:r w:rsidR="0022244D" w:rsidRPr="00605672">
        <w:t xml:space="preserve">and Barton Weitz (1992), "The Use of Pledges to Build and Sustain Commitment in Distribution Channels," </w:t>
      </w:r>
      <w:r w:rsidR="0022244D" w:rsidRPr="00605672">
        <w:rPr>
          <w:i/>
        </w:rPr>
        <w:t>Journal of Marketing Research</w:t>
      </w:r>
      <w:r w:rsidR="0022244D" w:rsidRPr="00605672">
        <w:t>, 29 (February), 18</w:t>
      </w:r>
      <w:r>
        <w:t>–</w:t>
      </w:r>
      <w:r w:rsidR="0022244D" w:rsidRPr="00605672">
        <w:t>34.</w:t>
      </w:r>
    </w:p>
    <w:p w14:paraId="7A9698B3" w14:textId="55717B9C" w:rsidR="0022244D" w:rsidRPr="00605672" w:rsidRDefault="0022244D">
      <w:pPr>
        <w:widowControl w:val="0"/>
        <w:autoSpaceDE w:val="0"/>
        <w:autoSpaceDN w:val="0"/>
        <w:adjustRightInd w:val="0"/>
        <w:spacing w:beforeLines="50" w:before="120" w:afterLines="50" w:after="120"/>
      </w:pPr>
      <w:r w:rsidRPr="00605672">
        <w:t xml:space="preserve">Anderson, James C. and James A. Narus (1990), "A Model of Distributor Firm and Manufacturer Firm Working Relationships," </w:t>
      </w:r>
      <w:r w:rsidRPr="00605672">
        <w:rPr>
          <w:i/>
          <w:iCs/>
        </w:rPr>
        <w:t>Journal of Marketing</w:t>
      </w:r>
      <w:r w:rsidRPr="00605672">
        <w:t>, 54 (January), 42</w:t>
      </w:r>
      <w:r w:rsidR="00701DF1">
        <w:t>–</w:t>
      </w:r>
      <w:r w:rsidRPr="00605672">
        <w:t>58.</w:t>
      </w:r>
    </w:p>
    <w:p w14:paraId="7E6D1198" w14:textId="7D9FE05E" w:rsidR="0022244D" w:rsidRPr="00605672" w:rsidRDefault="0022244D" w:rsidP="0022244D">
      <w:r w:rsidRPr="00605672">
        <w:t xml:space="preserve">Antia, Kersi D., Sudha Mani, and Kenneth H. Wathne (2017), "Franchisor–Franchisee Bankruptcy and the Efficacy of Franchisee Governance," </w:t>
      </w:r>
      <w:r w:rsidRPr="00605672">
        <w:rPr>
          <w:i/>
        </w:rPr>
        <w:t xml:space="preserve">Journal of Marketing Research, </w:t>
      </w:r>
      <w:r w:rsidRPr="00605672">
        <w:t>54(6), 952</w:t>
      </w:r>
      <w:r w:rsidR="00701DF1">
        <w:t>–</w:t>
      </w:r>
      <w:r w:rsidRPr="00605672">
        <w:t xml:space="preserve">67. </w:t>
      </w:r>
    </w:p>
    <w:p w14:paraId="3948FD1D" w14:textId="4155EA7F" w:rsidR="0022244D" w:rsidRPr="00605672" w:rsidRDefault="0022244D" w:rsidP="004A1B6C">
      <w:pPr>
        <w:widowControl w:val="0"/>
        <w:autoSpaceDE w:val="0"/>
        <w:autoSpaceDN w:val="0"/>
        <w:adjustRightInd w:val="0"/>
        <w:spacing w:beforeLines="50" w:before="120" w:afterLines="50" w:after="120"/>
      </w:pPr>
      <w:r w:rsidRPr="00605672">
        <w:t>Bagozzi, Richard P and Todd F Heatherton (1994), "A General Approach to Representing Multifaceted Personality Constructs: Application to State Self</w:t>
      </w:r>
      <w:r w:rsidR="00701DF1">
        <w:t>-E</w:t>
      </w:r>
      <w:r w:rsidRPr="00605672">
        <w:t xml:space="preserve">steem," </w:t>
      </w:r>
      <w:r w:rsidRPr="00605672">
        <w:rPr>
          <w:i/>
          <w:iCs/>
        </w:rPr>
        <w:t>Structural Equation Modeling: A Multidisciplinary Journal</w:t>
      </w:r>
      <w:r w:rsidRPr="00605672">
        <w:t>, 1 (1), 35</w:t>
      </w:r>
      <w:r w:rsidR="00701DF1">
        <w:t>–</w:t>
      </w:r>
      <w:r w:rsidRPr="00605672">
        <w:t>67.</w:t>
      </w:r>
    </w:p>
    <w:p w14:paraId="402315FB" w14:textId="6EA30365" w:rsidR="0022244D" w:rsidRPr="00605672" w:rsidRDefault="0022244D">
      <w:pPr>
        <w:widowControl w:val="0"/>
        <w:autoSpaceDE w:val="0"/>
        <w:autoSpaceDN w:val="0"/>
        <w:adjustRightInd w:val="0"/>
        <w:spacing w:beforeLines="50" w:before="120" w:afterLines="50" w:after="120"/>
      </w:pPr>
      <w:r w:rsidRPr="00605672">
        <w:t>Bensaou, Ben M. and Erin Anderson (1999), "Buyer</w:t>
      </w:r>
      <w:r w:rsidR="00701DF1">
        <w:t>–</w:t>
      </w:r>
      <w:r w:rsidRPr="00605672">
        <w:t xml:space="preserve">Supplier Relations in Industrial Markets: When Do Buyers Risk Making Idiosyncratic Investments?" </w:t>
      </w:r>
      <w:r w:rsidRPr="00605672">
        <w:rPr>
          <w:i/>
          <w:iCs/>
        </w:rPr>
        <w:t>Organization Science</w:t>
      </w:r>
      <w:r w:rsidRPr="00605672">
        <w:t>, 10 (July-August), 460</w:t>
      </w:r>
      <w:r w:rsidR="00701DF1">
        <w:t>–</w:t>
      </w:r>
      <w:r w:rsidRPr="00605672">
        <w:t>81.</w:t>
      </w:r>
    </w:p>
    <w:p w14:paraId="1D0F0CDC" w14:textId="144EF300" w:rsidR="0022244D" w:rsidRPr="00605672" w:rsidRDefault="0022244D">
      <w:pPr>
        <w:widowControl w:val="0"/>
        <w:autoSpaceDE w:val="0"/>
        <w:autoSpaceDN w:val="0"/>
        <w:adjustRightInd w:val="0"/>
        <w:spacing w:beforeLines="50" w:before="120" w:afterLines="50" w:after="120"/>
      </w:pPr>
      <w:r w:rsidRPr="00605672">
        <w:t xml:space="preserve">Bergen, Mark, Shantanu Dutta, and Orville C. Walker Jr. (1992), "Agency Relationships in Marketing: A Review of the Implications and Applications of Agency and Related Theories," </w:t>
      </w:r>
      <w:r w:rsidRPr="00605672">
        <w:rPr>
          <w:i/>
          <w:iCs/>
        </w:rPr>
        <w:t>Journal of Marketing</w:t>
      </w:r>
      <w:r w:rsidRPr="00605672">
        <w:t>, 56 (July), 1</w:t>
      </w:r>
      <w:r w:rsidR="00701DF1">
        <w:t>–</w:t>
      </w:r>
      <w:r w:rsidRPr="00605672">
        <w:t>24.</w:t>
      </w:r>
    </w:p>
    <w:p w14:paraId="656D231E" w14:textId="59E5A9AA" w:rsidR="00DA22F0" w:rsidRPr="00605672" w:rsidRDefault="00DA22F0">
      <w:pPr>
        <w:widowControl w:val="0"/>
        <w:adjustRightInd w:val="0"/>
        <w:spacing w:beforeLines="50" w:before="120" w:afterLines="50" w:after="120"/>
      </w:pPr>
      <w:r w:rsidRPr="00605672">
        <w:t xml:space="preserve">Berry, Leonard L. (1999), </w:t>
      </w:r>
      <w:r w:rsidR="00AA5B5D" w:rsidRPr="00727D37">
        <w:rPr>
          <w:i/>
        </w:rPr>
        <w:t>Discovering the Soul of Service</w:t>
      </w:r>
      <w:r w:rsidR="00701DF1">
        <w:t>.</w:t>
      </w:r>
      <w:r w:rsidRPr="00605672">
        <w:t xml:space="preserve"> New York: The Free Press.</w:t>
      </w:r>
    </w:p>
    <w:p w14:paraId="26E935E1" w14:textId="5AAABAB2" w:rsidR="0022244D" w:rsidRPr="00605672" w:rsidRDefault="0022244D">
      <w:pPr>
        <w:widowControl w:val="0"/>
        <w:adjustRightInd w:val="0"/>
        <w:spacing w:beforeLines="50" w:before="120" w:afterLines="50" w:after="120"/>
      </w:pPr>
      <w:r w:rsidRPr="00605672">
        <w:t xml:space="preserve">Bradach, Jeffrey L. and Robert G. Eccles (1989), "Price, Authority, and Trust: From Ideal Types to Plural Forms," </w:t>
      </w:r>
      <w:r w:rsidRPr="00605672">
        <w:rPr>
          <w:i/>
        </w:rPr>
        <w:t>Annual Review of Sociology</w:t>
      </w:r>
      <w:r w:rsidRPr="00605672">
        <w:t>, 15, 97</w:t>
      </w:r>
      <w:r w:rsidR="00701DF1">
        <w:t>–</w:t>
      </w:r>
      <w:r w:rsidRPr="00605672">
        <w:t>118.</w:t>
      </w:r>
    </w:p>
    <w:p w14:paraId="5BC4B581" w14:textId="62C913A2" w:rsidR="0022244D" w:rsidRPr="00605672" w:rsidRDefault="0022244D">
      <w:pPr>
        <w:widowControl w:val="0"/>
        <w:adjustRightInd w:val="0"/>
        <w:spacing w:beforeLines="50" w:before="120" w:afterLines="50" w:after="120"/>
      </w:pPr>
      <w:r w:rsidRPr="00605672">
        <w:t xml:space="preserve">Bruderl, Josef and Rudolf Schussler (1990), "Organizational Mortality: The Liabilities of Newness and Adolescence," </w:t>
      </w:r>
      <w:r w:rsidRPr="00605672">
        <w:rPr>
          <w:i/>
          <w:iCs/>
        </w:rPr>
        <w:t>Administrative Science Quarterly</w:t>
      </w:r>
      <w:r w:rsidRPr="00605672">
        <w:t>, 35 (3), 530</w:t>
      </w:r>
      <w:r w:rsidR="00701DF1">
        <w:t>–</w:t>
      </w:r>
      <w:r w:rsidRPr="00605672">
        <w:t>47.</w:t>
      </w:r>
    </w:p>
    <w:p w14:paraId="2473FB9E" w14:textId="570306F1" w:rsidR="0022244D" w:rsidRPr="00605672" w:rsidRDefault="0022244D">
      <w:pPr>
        <w:widowControl w:val="0"/>
        <w:autoSpaceDE w:val="0"/>
        <w:autoSpaceDN w:val="0"/>
        <w:adjustRightInd w:val="0"/>
        <w:spacing w:beforeLines="50" w:before="120" w:afterLines="50" w:after="120"/>
      </w:pPr>
      <w:r w:rsidRPr="00605672">
        <w:t xml:space="preserve">Butt, Moeen Naseer, Kersi D. Antia, Brian R. Murtha, and Vishal Kashyap (2018), "Clustering, Knowledge Sharing, and Intrabrand Competition: A Multiyear Analysis of an Evolving Franchise System," </w:t>
      </w:r>
      <w:r w:rsidRPr="00605672">
        <w:rPr>
          <w:i/>
        </w:rPr>
        <w:t>Journal of Marketing</w:t>
      </w:r>
      <w:r w:rsidRPr="00605672">
        <w:t>, 82 (1), 74</w:t>
      </w:r>
      <w:r w:rsidR="00701DF1">
        <w:t>–</w:t>
      </w:r>
      <w:r w:rsidRPr="00605672">
        <w:t>92.</w:t>
      </w:r>
    </w:p>
    <w:p w14:paraId="1088A981" w14:textId="473220F1" w:rsidR="0022244D" w:rsidRPr="00605672" w:rsidRDefault="0022244D">
      <w:pPr>
        <w:widowControl w:val="0"/>
        <w:autoSpaceDE w:val="0"/>
        <w:autoSpaceDN w:val="0"/>
        <w:adjustRightInd w:val="0"/>
        <w:spacing w:beforeLines="50" w:before="120" w:afterLines="50" w:after="120"/>
      </w:pPr>
      <w:r w:rsidRPr="00605672">
        <w:t xml:space="preserve">Buvik, Arnt and George John (2000), "When Does Vertical Coordination Improve Industrial Purchasing Relationships?" </w:t>
      </w:r>
      <w:r w:rsidRPr="00605672">
        <w:rPr>
          <w:i/>
          <w:iCs/>
        </w:rPr>
        <w:t>Journal of Marketing</w:t>
      </w:r>
      <w:r w:rsidRPr="00605672">
        <w:t>, 64 (October), 52</w:t>
      </w:r>
      <w:r w:rsidR="00701DF1">
        <w:t>–</w:t>
      </w:r>
      <w:r w:rsidRPr="00605672">
        <w:t>64.</w:t>
      </w:r>
    </w:p>
    <w:p w14:paraId="65DB69D1" w14:textId="69268807" w:rsidR="0022244D" w:rsidRPr="00605672" w:rsidRDefault="0022244D">
      <w:pPr>
        <w:widowControl w:val="0"/>
        <w:autoSpaceDE w:val="0"/>
        <w:autoSpaceDN w:val="0"/>
        <w:adjustRightInd w:val="0"/>
        <w:spacing w:beforeLines="50" w:before="120" w:afterLines="50" w:after="120"/>
      </w:pPr>
      <w:r w:rsidRPr="00605672">
        <w:t xml:space="preserve">Cao, Zhi and Fabrice Lumineau (2015), "Revisiting the Interplay Between Contractual and Relational Governance: A Qualitative and Meta-Analytic Investigation," </w:t>
      </w:r>
      <w:r w:rsidRPr="00605672">
        <w:rPr>
          <w:i/>
          <w:iCs/>
        </w:rPr>
        <w:t xml:space="preserve">Journal of Operations </w:t>
      </w:r>
      <w:r w:rsidRPr="00605672">
        <w:rPr>
          <w:i/>
          <w:iCs/>
        </w:rPr>
        <w:lastRenderedPageBreak/>
        <w:t>Management</w:t>
      </w:r>
      <w:r w:rsidRPr="00605672">
        <w:t>, 33 (January), 15</w:t>
      </w:r>
      <w:r w:rsidR="00701DF1">
        <w:t>–</w:t>
      </w:r>
      <w:r w:rsidRPr="00605672">
        <w:t>42.</w:t>
      </w:r>
    </w:p>
    <w:p w14:paraId="2D775A5B" w14:textId="063D6384" w:rsidR="0022244D" w:rsidRPr="00605672" w:rsidRDefault="0022244D">
      <w:pPr>
        <w:autoSpaceDE w:val="0"/>
        <w:autoSpaceDN w:val="0"/>
        <w:adjustRightInd w:val="0"/>
        <w:spacing w:beforeLines="50" w:before="120" w:afterLines="50" w:after="120"/>
      </w:pPr>
      <w:r w:rsidRPr="00605672">
        <w:rPr>
          <w:rFonts w:eastAsiaTheme="minorHAnsi"/>
        </w:rPr>
        <w:t xml:space="preserve">Chakravarty, Anindita, Alok Kumar, and Rajdeep Grewal (2014), "Customer Orientation Structure for Internet-Based Business-to-Business Platform Firms," </w:t>
      </w:r>
      <w:r w:rsidRPr="00605672">
        <w:rPr>
          <w:rFonts w:eastAsiaTheme="minorHAnsi"/>
          <w:i/>
          <w:iCs/>
        </w:rPr>
        <w:t>Journal of Marketing</w:t>
      </w:r>
      <w:r w:rsidRPr="00605672">
        <w:rPr>
          <w:rFonts w:eastAsiaTheme="minorHAnsi"/>
        </w:rPr>
        <w:t>, 78 (5), 1</w:t>
      </w:r>
      <w:r w:rsidR="00701DF1">
        <w:rPr>
          <w:rFonts w:eastAsiaTheme="minorHAnsi"/>
        </w:rPr>
        <w:t>–</w:t>
      </w:r>
      <w:r w:rsidRPr="00605672">
        <w:rPr>
          <w:rFonts w:eastAsiaTheme="minorHAnsi"/>
        </w:rPr>
        <w:t>23.</w:t>
      </w:r>
    </w:p>
    <w:p w14:paraId="56D23052" w14:textId="77777777" w:rsidR="0022244D" w:rsidRPr="00605672" w:rsidRDefault="0022244D">
      <w:pPr>
        <w:autoSpaceDE w:val="0"/>
        <w:autoSpaceDN w:val="0"/>
        <w:adjustRightInd w:val="0"/>
        <w:spacing w:beforeLines="50" w:before="120" w:afterLines="50" w:after="120"/>
      </w:pPr>
      <w:r w:rsidRPr="00605672">
        <w:rPr>
          <w:rFonts w:eastAsiaTheme="minorHAnsi"/>
        </w:rPr>
        <w:t xml:space="preserve">Commons, John R. (1934), </w:t>
      </w:r>
      <w:r w:rsidRPr="00605672">
        <w:rPr>
          <w:rFonts w:eastAsiaTheme="minorHAnsi"/>
          <w:i/>
        </w:rPr>
        <w:t>Institutional Economics</w:t>
      </w:r>
      <w:r w:rsidRPr="00605672">
        <w:rPr>
          <w:rFonts w:eastAsiaTheme="minorHAnsi"/>
        </w:rPr>
        <w:t>. New York: McMillan.</w:t>
      </w:r>
    </w:p>
    <w:p w14:paraId="58949CC5" w14:textId="5D8416FC" w:rsidR="0022244D" w:rsidRPr="00605672" w:rsidRDefault="0022244D">
      <w:pPr>
        <w:autoSpaceDE w:val="0"/>
        <w:autoSpaceDN w:val="0"/>
        <w:adjustRightInd w:val="0"/>
        <w:spacing w:beforeLines="50" w:before="120" w:afterLines="50" w:after="120"/>
      </w:pPr>
      <w:r w:rsidRPr="00605672">
        <w:t xml:space="preserve">Dacin, Tina M., Douglas Reid, and Peter Smith Ring (2008), "Alliances and Joint Ventures: The Role of Partner Selection from An Embeddedness Perspective," in </w:t>
      </w:r>
      <w:r w:rsidRPr="00605672">
        <w:rPr>
          <w:i/>
          <w:iCs/>
        </w:rPr>
        <w:t xml:space="preserve">The Oxford Handbook of Inter-Organizational Relations, </w:t>
      </w:r>
      <w:r w:rsidRPr="00605672">
        <w:t>Steve Cropper</w:t>
      </w:r>
      <w:r w:rsidR="00701DF1">
        <w:t>,</w:t>
      </w:r>
      <w:r w:rsidRPr="00605672">
        <w:t xml:space="preserve"> Chris Huxham</w:t>
      </w:r>
      <w:r w:rsidR="00701DF1">
        <w:t>,</w:t>
      </w:r>
      <w:r w:rsidRPr="00605672">
        <w:t xml:space="preserve"> Mark Ebers</w:t>
      </w:r>
      <w:r w:rsidR="00701DF1">
        <w:t>,</w:t>
      </w:r>
      <w:r w:rsidRPr="00605672">
        <w:t xml:space="preserve"> and Peter Smith Ring, eds. New York: Oxford University Press.</w:t>
      </w:r>
    </w:p>
    <w:p w14:paraId="584F0962" w14:textId="2F72ACC5" w:rsidR="0022244D" w:rsidRPr="00605672" w:rsidRDefault="0022244D">
      <w:pPr>
        <w:widowControl w:val="0"/>
        <w:autoSpaceDE w:val="0"/>
        <w:autoSpaceDN w:val="0"/>
        <w:adjustRightInd w:val="0"/>
        <w:spacing w:beforeLines="50" w:before="120" w:afterLines="50" w:after="120"/>
      </w:pPr>
      <w:r w:rsidRPr="00605672">
        <w:t xml:space="preserve">Dahlstrom, Robert and Arne Nygaard (1999), "An Empirical Investigation of Ex-post Transaction Costs in Franchised Distribution Channels," </w:t>
      </w:r>
      <w:r w:rsidRPr="00605672">
        <w:rPr>
          <w:i/>
          <w:iCs/>
        </w:rPr>
        <w:t>Journal of Marketing Research</w:t>
      </w:r>
      <w:r w:rsidRPr="00605672">
        <w:t>, 36 (May), 160</w:t>
      </w:r>
      <w:r w:rsidR="00701DF1">
        <w:t>–</w:t>
      </w:r>
      <w:r w:rsidRPr="00605672">
        <w:t>70.</w:t>
      </w:r>
    </w:p>
    <w:p w14:paraId="6B27C9F1" w14:textId="77777777" w:rsidR="0022244D" w:rsidRPr="00605672" w:rsidRDefault="0022244D">
      <w:pPr>
        <w:widowControl w:val="0"/>
        <w:autoSpaceDE w:val="0"/>
        <w:autoSpaceDN w:val="0"/>
        <w:adjustRightInd w:val="0"/>
        <w:spacing w:beforeLines="50" w:before="120" w:afterLines="50" w:after="120"/>
      </w:pPr>
      <w:r w:rsidRPr="00605672">
        <w:rPr>
          <w:color w:val="000000"/>
          <w:shd w:val="clear" w:color="auto" w:fill="FFFFFF"/>
        </w:rPr>
        <w:t xml:space="preserve">Davidson, Russell and James G. MacKinnon (1993), </w:t>
      </w:r>
      <w:r w:rsidRPr="00605672">
        <w:rPr>
          <w:i/>
          <w:iCs/>
          <w:color w:val="000000"/>
        </w:rPr>
        <w:t>Estimation and Inference in Econometrics</w:t>
      </w:r>
      <w:r w:rsidRPr="00605672">
        <w:rPr>
          <w:color w:val="000000"/>
          <w:shd w:val="clear" w:color="auto" w:fill="FFFFFF"/>
        </w:rPr>
        <w:t>. New York: Oxford University Press. </w:t>
      </w:r>
    </w:p>
    <w:p w14:paraId="707B1E7B" w14:textId="01359B3E" w:rsidR="0022244D" w:rsidRPr="00605672" w:rsidRDefault="0022244D" w:rsidP="0022244D">
      <w:r w:rsidRPr="00605672">
        <w:rPr>
          <w:color w:val="222222"/>
          <w:shd w:val="clear" w:color="auto" w:fill="FFFFFF"/>
        </w:rPr>
        <w:t>Dekker, Henri C. (2008), "Partner Selection and Governance Design in Interfirm Relationships,"</w:t>
      </w:r>
      <w:r w:rsidR="00701DF1">
        <w:rPr>
          <w:color w:val="222222"/>
          <w:shd w:val="clear" w:color="auto" w:fill="FFFFFF"/>
        </w:rPr>
        <w:t xml:space="preserve"> </w:t>
      </w:r>
      <w:r w:rsidRPr="00605672">
        <w:rPr>
          <w:i/>
          <w:iCs/>
          <w:color w:val="222222"/>
          <w:shd w:val="clear" w:color="auto" w:fill="FFFFFF"/>
        </w:rPr>
        <w:t>Accounting, Organizations and Society</w:t>
      </w:r>
      <w:r w:rsidRPr="00605672">
        <w:rPr>
          <w:color w:val="222222"/>
          <w:shd w:val="clear" w:color="auto" w:fill="FFFFFF"/>
        </w:rPr>
        <w:t>, </w:t>
      </w:r>
      <w:r w:rsidRPr="00605672">
        <w:rPr>
          <w:iCs/>
          <w:color w:val="222222"/>
          <w:shd w:val="clear" w:color="auto" w:fill="FFFFFF"/>
        </w:rPr>
        <w:t>33</w:t>
      </w:r>
      <w:r w:rsidRPr="00605672">
        <w:rPr>
          <w:color w:val="222222"/>
          <w:shd w:val="clear" w:color="auto" w:fill="FFFFFF"/>
        </w:rPr>
        <w:t>(7-8), 915</w:t>
      </w:r>
      <w:r w:rsidR="00701DF1">
        <w:rPr>
          <w:color w:val="222222"/>
          <w:shd w:val="clear" w:color="auto" w:fill="FFFFFF"/>
        </w:rPr>
        <w:t>–</w:t>
      </w:r>
      <w:r w:rsidRPr="00605672">
        <w:rPr>
          <w:color w:val="222222"/>
          <w:shd w:val="clear" w:color="auto" w:fill="FFFFFF"/>
        </w:rPr>
        <w:t>41.</w:t>
      </w:r>
    </w:p>
    <w:p w14:paraId="3E4D3F4F" w14:textId="00914B94" w:rsidR="0022244D" w:rsidRPr="00605672" w:rsidRDefault="0022244D" w:rsidP="004A1B6C">
      <w:pPr>
        <w:widowControl w:val="0"/>
        <w:autoSpaceDE w:val="0"/>
        <w:autoSpaceDN w:val="0"/>
        <w:adjustRightInd w:val="0"/>
        <w:spacing w:beforeLines="50" w:before="120" w:afterLines="50" w:after="120"/>
      </w:pPr>
      <w:r w:rsidRPr="00605672">
        <w:t xml:space="preserve">Fichman, Mark and Daniel A. Levinthal (1991), "Honeymoons and the Liability of Adolescence: A New Perspective on Duration Dependence in Social and Organizational Relationships," </w:t>
      </w:r>
      <w:r w:rsidRPr="00605672">
        <w:rPr>
          <w:i/>
        </w:rPr>
        <w:t>Academy of Management Review</w:t>
      </w:r>
      <w:r w:rsidRPr="00605672">
        <w:t>, 16 (2), 442</w:t>
      </w:r>
      <w:r w:rsidR="00701DF1">
        <w:t>–</w:t>
      </w:r>
      <w:r w:rsidRPr="00605672">
        <w:t>68.</w:t>
      </w:r>
    </w:p>
    <w:p w14:paraId="34827F75" w14:textId="610D2D21" w:rsidR="0022244D" w:rsidRPr="00605672" w:rsidRDefault="0022244D">
      <w:pPr>
        <w:widowControl w:val="0"/>
        <w:autoSpaceDE w:val="0"/>
        <w:autoSpaceDN w:val="0"/>
        <w:adjustRightInd w:val="0"/>
        <w:spacing w:beforeLines="50" w:before="120" w:afterLines="50" w:after="120"/>
      </w:pPr>
      <w:r w:rsidRPr="00605672">
        <w:t xml:space="preserve">Fornell, Claes and David F. Larcker (1981), "Structural Equation Models with Unobservable Variables and Measurement Error: Algebra and Statistics," </w:t>
      </w:r>
      <w:r w:rsidRPr="00605672">
        <w:rPr>
          <w:i/>
          <w:iCs/>
        </w:rPr>
        <w:t>Journal of Marketing Research</w:t>
      </w:r>
      <w:r w:rsidRPr="00605672">
        <w:t>, 18 (August), 382</w:t>
      </w:r>
      <w:r w:rsidR="00701DF1">
        <w:t>–</w:t>
      </w:r>
      <w:r w:rsidRPr="00605672">
        <w:t>88.</w:t>
      </w:r>
    </w:p>
    <w:p w14:paraId="0D608978" w14:textId="51893173" w:rsidR="0022244D" w:rsidRPr="00605672" w:rsidRDefault="0022244D">
      <w:pPr>
        <w:widowControl w:val="0"/>
        <w:autoSpaceDE w:val="0"/>
        <w:autoSpaceDN w:val="0"/>
        <w:adjustRightInd w:val="0"/>
        <w:spacing w:beforeLines="50" w:before="120" w:afterLines="50" w:after="120"/>
      </w:pPr>
      <w:r w:rsidRPr="00605672">
        <w:t xml:space="preserve">Freeman, John, Glenn R. Carroll, and Michael T. Hannan (1983), "The Liability of Newness: Age Dependence in Organizational Death Rates," </w:t>
      </w:r>
      <w:r w:rsidRPr="00605672">
        <w:rPr>
          <w:i/>
          <w:iCs/>
        </w:rPr>
        <w:t>American Sociological Review</w:t>
      </w:r>
      <w:r w:rsidRPr="00605672">
        <w:t>, 48 (5), 692</w:t>
      </w:r>
      <w:r w:rsidR="00701DF1">
        <w:t>–</w:t>
      </w:r>
      <w:r w:rsidRPr="00605672">
        <w:t>710.</w:t>
      </w:r>
    </w:p>
    <w:p w14:paraId="4B866B87" w14:textId="173AEDEF" w:rsidR="0022244D" w:rsidRPr="00605672" w:rsidRDefault="0022244D" w:rsidP="0022244D">
      <w:pPr>
        <w:autoSpaceDE w:val="0"/>
        <w:autoSpaceDN w:val="0"/>
        <w:adjustRightInd w:val="0"/>
        <w:rPr>
          <w:rFonts w:eastAsiaTheme="minorHAnsi"/>
        </w:rPr>
      </w:pPr>
      <w:r w:rsidRPr="00605672">
        <w:rPr>
          <w:rFonts w:eastAsiaTheme="minorHAnsi"/>
        </w:rPr>
        <w:t xml:space="preserve">Garen, John (1984), "The Returns to Schooling: A Selectivity Bias Approach with a Continuous Choice Variable," </w:t>
      </w:r>
      <w:r w:rsidRPr="00605672">
        <w:rPr>
          <w:rFonts w:eastAsiaTheme="minorHAnsi"/>
          <w:i/>
          <w:iCs/>
        </w:rPr>
        <w:t>Econometrica</w:t>
      </w:r>
      <w:r w:rsidRPr="00605672">
        <w:rPr>
          <w:rFonts w:eastAsiaTheme="minorHAnsi"/>
        </w:rPr>
        <w:t>, 52 (5), 1199</w:t>
      </w:r>
      <w:r w:rsidR="00701DF1">
        <w:rPr>
          <w:rFonts w:eastAsiaTheme="minorHAnsi"/>
        </w:rPr>
        <w:t>–</w:t>
      </w:r>
      <w:r w:rsidRPr="00605672">
        <w:rPr>
          <w:rFonts w:eastAsiaTheme="minorHAnsi"/>
        </w:rPr>
        <w:t>218.</w:t>
      </w:r>
    </w:p>
    <w:p w14:paraId="7ED7F6F3" w14:textId="4AC6A58B" w:rsidR="0022244D" w:rsidRPr="00605672" w:rsidRDefault="0022244D" w:rsidP="004A1B6C">
      <w:pPr>
        <w:widowControl w:val="0"/>
        <w:autoSpaceDE w:val="0"/>
        <w:autoSpaceDN w:val="0"/>
        <w:adjustRightInd w:val="0"/>
        <w:spacing w:beforeLines="50" w:before="120" w:afterLines="50" w:after="120"/>
      </w:pPr>
      <w:r w:rsidRPr="00605672">
        <w:t xml:space="preserve">Gerbing, David W. and James C. Anderson (1988), "An Updated Paradigm for Scale Development Incorporating Unidimensionality and Its Assessment," </w:t>
      </w:r>
      <w:r w:rsidRPr="00605672">
        <w:rPr>
          <w:i/>
          <w:iCs/>
        </w:rPr>
        <w:t>Journal of Marketing Research</w:t>
      </w:r>
      <w:r w:rsidRPr="00605672">
        <w:t>, 25 (May), 186</w:t>
      </w:r>
      <w:r w:rsidR="00701DF1">
        <w:t>–</w:t>
      </w:r>
      <w:r w:rsidRPr="00605672">
        <w:t>92.</w:t>
      </w:r>
    </w:p>
    <w:p w14:paraId="3E29D179" w14:textId="6D9C674D" w:rsidR="0022244D" w:rsidRPr="00605672" w:rsidRDefault="0022244D">
      <w:pPr>
        <w:widowControl w:val="0"/>
        <w:autoSpaceDE w:val="0"/>
        <w:autoSpaceDN w:val="0"/>
        <w:adjustRightInd w:val="0"/>
        <w:spacing w:beforeLines="50" w:before="120" w:afterLines="50" w:after="120"/>
      </w:pPr>
      <w:r w:rsidRPr="00605672">
        <w:t xml:space="preserve">Geyskens, Inge, Jan-Benedict E.M. Steenkamp, and Nirmalya Kumar (2006), "Make, Buy, or Ally: A </w:t>
      </w:r>
      <w:r w:rsidR="00701DF1">
        <w:t>T</w:t>
      </w:r>
      <w:r w:rsidRPr="00605672">
        <w:t xml:space="preserve">ransaction Cost Meta-Analysis," </w:t>
      </w:r>
      <w:r w:rsidRPr="00605672">
        <w:rPr>
          <w:i/>
          <w:iCs/>
        </w:rPr>
        <w:t>Academy of Management Journal</w:t>
      </w:r>
      <w:r w:rsidRPr="00605672">
        <w:t>, 49 (3), 519</w:t>
      </w:r>
      <w:r w:rsidR="00701DF1">
        <w:t>–</w:t>
      </w:r>
      <w:r w:rsidRPr="00605672">
        <w:t>43.</w:t>
      </w:r>
    </w:p>
    <w:p w14:paraId="6555D8E9" w14:textId="2433EC69" w:rsidR="0022244D" w:rsidRPr="00605672" w:rsidRDefault="0022244D">
      <w:pPr>
        <w:widowControl w:val="0"/>
        <w:adjustRightInd w:val="0"/>
        <w:spacing w:beforeLines="50" w:before="120" w:afterLines="50" w:after="120"/>
      </w:pPr>
      <w:r w:rsidRPr="00605672">
        <w:t xml:space="preserve">Ghosh, Mrinal and George John (1999), "Governance Value Analysis and Marketing Strategy," </w:t>
      </w:r>
      <w:r w:rsidRPr="00605672">
        <w:rPr>
          <w:i/>
        </w:rPr>
        <w:t>Journal of Marketing</w:t>
      </w:r>
      <w:r w:rsidRPr="00605672">
        <w:t>, 63 (Special Issue), 131</w:t>
      </w:r>
      <w:r w:rsidR="00701DF1">
        <w:t>–</w:t>
      </w:r>
      <w:r w:rsidRPr="00605672">
        <w:t>45.</w:t>
      </w:r>
    </w:p>
    <w:p w14:paraId="296F4733" w14:textId="060CA0BE" w:rsidR="0022244D" w:rsidRPr="00605672" w:rsidRDefault="00701DF1">
      <w:pPr>
        <w:widowControl w:val="0"/>
        <w:adjustRightInd w:val="0"/>
        <w:spacing w:beforeLines="50" w:before="120" w:afterLines="50" w:after="120"/>
      </w:pPr>
      <w:r>
        <w:t xml:space="preserve">——— and ——— </w:t>
      </w:r>
      <w:r w:rsidR="0022244D" w:rsidRPr="00605672">
        <w:t xml:space="preserve">(2005), "Strategic Fit in Industrial Alliances: An Empirical Test of Governance Value Analysis," </w:t>
      </w:r>
      <w:r w:rsidR="0022244D" w:rsidRPr="00605672">
        <w:rPr>
          <w:i/>
          <w:iCs/>
        </w:rPr>
        <w:t>Journal of Marketing Research</w:t>
      </w:r>
      <w:r w:rsidR="0022244D" w:rsidRPr="00605672">
        <w:t>, 42 (3), 346</w:t>
      </w:r>
      <w:r>
        <w:t>–</w:t>
      </w:r>
      <w:r w:rsidR="0022244D" w:rsidRPr="00605672">
        <w:t>57.</w:t>
      </w:r>
    </w:p>
    <w:p w14:paraId="2D0B403A" w14:textId="2D7F59B0" w:rsidR="0022244D" w:rsidRPr="00605672" w:rsidRDefault="00701DF1">
      <w:pPr>
        <w:widowControl w:val="0"/>
        <w:adjustRightInd w:val="0"/>
        <w:spacing w:beforeLines="50" w:before="120" w:afterLines="50" w:after="120"/>
      </w:pPr>
      <w:r>
        <w:t xml:space="preserve">——— and ——— </w:t>
      </w:r>
      <w:r w:rsidR="0022244D" w:rsidRPr="00605672">
        <w:t xml:space="preserve">(2012), "Progress and Prospects for Governance Value Analysis in Marketing: When Porter Meets Williamson," in </w:t>
      </w:r>
      <w:r w:rsidR="0022244D" w:rsidRPr="00605672">
        <w:rPr>
          <w:i/>
        </w:rPr>
        <w:t>Handbook of Business-to-Business Marketing.</w:t>
      </w:r>
      <w:r w:rsidR="0022244D" w:rsidRPr="00605672">
        <w:t xml:space="preserve"> Gary Lilien and Rajdeep Grewal, eds. Northamption, MA: Edward Elgar Publishing.</w:t>
      </w:r>
    </w:p>
    <w:p w14:paraId="23ABBC9A" w14:textId="09A0856A" w:rsidR="0022244D" w:rsidRPr="00605672" w:rsidRDefault="0022244D">
      <w:pPr>
        <w:widowControl w:val="0"/>
        <w:autoSpaceDE w:val="0"/>
        <w:autoSpaceDN w:val="0"/>
        <w:adjustRightInd w:val="0"/>
        <w:spacing w:beforeLines="50" w:before="120" w:afterLines="50" w:after="120"/>
      </w:pPr>
      <w:r w:rsidRPr="00605672">
        <w:t xml:space="preserve">Gibbons and John Roberts (2013), </w:t>
      </w:r>
      <w:r w:rsidRPr="00605672">
        <w:rPr>
          <w:i/>
        </w:rPr>
        <w:t>The Handbook of Organizational Economics</w:t>
      </w:r>
      <w:r w:rsidR="00701DF1">
        <w:t>.</w:t>
      </w:r>
      <w:r w:rsidRPr="00605672">
        <w:t xml:space="preserve"> </w:t>
      </w:r>
      <w:r w:rsidR="00701DF1">
        <w:t xml:space="preserve">Princeton, NJ: </w:t>
      </w:r>
      <w:r w:rsidRPr="00605672">
        <w:lastRenderedPageBreak/>
        <w:t>Princeton University Press.</w:t>
      </w:r>
    </w:p>
    <w:p w14:paraId="0E6F1705" w14:textId="7F64DDC9" w:rsidR="0022244D" w:rsidRPr="00605672" w:rsidRDefault="0022244D">
      <w:pPr>
        <w:widowControl w:val="0"/>
        <w:adjustRightInd w:val="0"/>
        <w:spacing w:beforeLines="50" w:before="120" w:afterLines="50" w:after="120"/>
      </w:pPr>
      <w:r w:rsidRPr="00605672">
        <w:rPr>
          <w:rFonts w:eastAsiaTheme="minorHAnsi"/>
        </w:rPr>
        <w:t xml:space="preserve">Granovetter, Mark (2005), "The Impact of Social Structure on Economic Outcomes," </w:t>
      </w:r>
      <w:r w:rsidRPr="00605672">
        <w:rPr>
          <w:rFonts w:eastAsiaTheme="minorHAnsi"/>
          <w:i/>
          <w:iCs/>
        </w:rPr>
        <w:t>Journal of Economic Perspectives</w:t>
      </w:r>
      <w:r w:rsidRPr="00605672">
        <w:rPr>
          <w:rFonts w:eastAsiaTheme="minorHAnsi"/>
        </w:rPr>
        <w:t>, 19 (1), 33</w:t>
      </w:r>
      <w:r w:rsidR="00701DF1">
        <w:rPr>
          <w:rFonts w:eastAsiaTheme="minorHAnsi"/>
        </w:rPr>
        <w:t>–</w:t>
      </w:r>
      <w:r w:rsidRPr="00605672">
        <w:rPr>
          <w:rFonts w:eastAsiaTheme="minorHAnsi"/>
        </w:rPr>
        <w:t>50.</w:t>
      </w:r>
    </w:p>
    <w:p w14:paraId="56D2E1B3" w14:textId="68307BCC" w:rsidR="0022244D" w:rsidRPr="00605672" w:rsidRDefault="0022244D">
      <w:pPr>
        <w:widowControl w:val="0"/>
        <w:adjustRightInd w:val="0"/>
        <w:spacing w:beforeLines="50" w:before="120" w:afterLines="50" w:after="120"/>
      </w:pPr>
      <w:r w:rsidRPr="00605672">
        <w:t>Grewal, Rajdeep, James M. Comer</w:t>
      </w:r>
      <w:r w:rsidR="00701DF1">
        <w:t>,</w:t>
      </w:r>
      <w:r w:rsidRPr="00605672">
        <w:t xml:space="preserve"> and Raj Mehta </w:t>
      </w:r>
      <w:r w:rsidRPr="00605672">
        <w:rPr>
          <w:color w:val="222222"/>
          <w:shd w:val="clear" w:color="auto" w:fill="FFFFFF"/>
        </w:rPr>
        <w:t>(2001), "An Investigation into the Antecedents of Organizational Participation in Business-to-Business Electronic Markets,"</w:t>
      </w:r>
      <w:r w:rsidR="00701DF1">
        <w:rPr>
          <w:color w:val="222222"/>
          <w:shd w:val="clear" w:color="auto" w:fill="FFFFFF"/>
        </w:rPr>
        <w:t xml:space="preserve"> </w:t>
      </w:r>
      <w:r w:rsidRPr="00605672">
        <w:rPr>
          <w:i/>
          <w:iCs/>
          <w:color w:val="222222"/>
          <w:shd w:val="clear" w:color="auto" w:fill="FFFFFF"/>
        </w:rPr>
        <w:t>Journal of Marketing</w:t>
      </w:r>
      <w:r w:rsidRPr="00605672">
        <w:rPr>
          <w:color w:val="222222"/>
          <w:shd w:val="clear" w:color="auto" w:fill="FFFFFF"/>
        </w:rPr>
        <w:t>,</w:t>
      </w:r>
      <w:r w:rsidR="00701DF1">
        <w:rPr>
          <w:color w:val="222222"/>
          <w:shd w:val="clear" w:color="auto" w:fill="FFFFFF"/>
        </w:rPr>
        <w:t xml:space="preserve"> </w:t>
      </w:r>
      <w:r w:rsidRPr="00605672">
        <w:rPr>
          <w:iCs/>
          <w:color w:val="222222"/>
          <w:shd w:val="clear" w:color="auto" w:fill="FFFFFF"/>
        </w:rPr>
        <w:t>65</w:t>
      </w:r>
      <w:r w:rsidR="00701DF1">
        <w:rPr>
          <w:iCs/>
          <w:color w:val="222222"/>
          <w:shd w:val="clear" w:color="auto" w:fill="FFFFFF"/>
        </w:rPr>
        <w:t xml:space="preserve"> </w:t>
      </w:r>
      <w:r w:rsidRPr="00605672">
        <w:rPr>
          <w:color w:val="222222"/>
          <w:shd w:val="clear" w:color="auto" w:fill="FFFFFF"/>
        </w:rPr>
        <w:t>(3), 17</w:t>
      </w:r>
      <w:r w:rsidR="00701DF1">
        <w:rPr>
          <w:color w:val="222222"/>
          <w:shd w:val="clear" w:color="auto" w:fill="FFFFFF"/>
        </w:rPr>
        <w:t>–</w:t>
      </w:r>
      <w:r w:rsidRPr="00605672">
        <w:rPr>
          <w:color w:val="222222"/>
          <w:shd w:val="clear" w:color="auto" w:fill="FFFFFF"/>
        </w:rPr>
        <w:t>33.</w:t>
      </w:r>
    </w:p>
    <w:p w14:paraId="7329636B" w14:textId="77777777" w:rsidR="0022244D" w:rsidRPr="00605672" w:rsidRDefault="0022244D">
      <w:pPr>
        <w:widowControl w:val="0"/>
        <w:autoSpaceDE w:val="0"/>
        <w:autoSpaceDN w:val="0"/>
        <w:adjustRightInd w:val="0"/>
        <w:spacing w:beforeLines="50" w:before="120" w:afterLines="50" w:after="120"/>
      </w:pPr>
      <w:r w:rsidRPr="00605672">
        <w:t xml:space="preserve">Hair, Joseph F., Jr., William C. Black, Barry J. Babin, and Rolph E. Anderson (2010), </w:t>
      </w:r>
      <w:r w:rsidRPr="00605672">
        <w:rPr>
          <w:i/>
        </w:rPr>
        <w:t>Multivariate Data Analysis</w:t>
      </w:r>
      <w:r w:rsidRPr="00605672">
        <w:t>. Upper Saddle River, NJ: Pearson.</w:t>
      </w:r>
    </w:p>
    <w:p w14:paraId="15D80672" w14:textId="270A4044" w:rsidR="0022244D" w:rsidRPr="00605672" w:rsidRDefault="0022244D">
      <w:pPr>
        <w:widowControl w:val="0"/>
        <w:autoSpaceDE w:val="0"/>
        <w:autoSpaceDN w:val="0"/>
        <w:adjustRightInd w:val="0"/>
        <w:spacing w:beforeLines="50" w:before="120" w:afterLines="50" w:after="120"/>
      </w:pPr>
      <w:r w:rsidRPr="00605672">
        <w:t xml:space="preserve">Heckman, James J. (1979), "Sample Selection Bias as a Specification Error," </w:t>
      </w:r>
      <w:r w:rsidRPr="00605672">
        <w:rPr>
          <w:i/>
          <w:iCs/>
        </w:rPr>
        <w:t>Econometrica</w:t>
      </w:r>
      <w:r w:rsidRPr="00605672">
        <w:t>, 47 (1), 153</w:t>
      </w:r>
      <w:r w:rsidR="00701DF1">
        <w:t>–</w:t>
      </w:r>
      <w:r w:rsidRPr="00605672">
        <w:t>62.</w:t>
      </w:r>
    </w:p>
    <w:p w14:paraId="1B7BFF96" w14:textId="70B8ABDD" w:rsidR="00A82FB0" w:rsidRPr="00605672" w:rsidRDefault="00A82FB0">
      <w:pPr>
        <w:widowControl w:val="0"/>
        <w:autoSpaceDE w:val="0"/>
        <w:autoSpaceDN w:val="0"/>
        <w:adjustRightInd w:val="0"/>
        <w:spacing w:beforeLines="50" w:before="120" w:afterLines="50" w:after="120"/>
      </w:pPr>
      <w:r>
        <w:t>Heide, Jan B.</w:t>
      </w:r>
      <w:r w:rsidRPr="00605672">
        <w:t xml:space="preserve"> (1994), "Interorganizational Governance in Marketing Channels," </w:t>
      </w:r>
      <w:r w:rsidRPr="00605672">
        <w:rPr>
          <w:i/>
        </w:rPr>
        <w:t>Journal of Marketing</w:t>
      </w:r>
      <w:r w:rsidRPr="00605672">
        <w:t>, 58 (January), 71</w:t>
      </w:r>
      <w:r>
        <w:t>–</w:t>
      </w:r>
      <w:r w:rsidRPr="00605672">
        <w:t>85.</w:t>
      </w:r>
    </w:p>
    <w:p w14:paraId="7F08CB7F" w14:textId="3B41E7D2" w:rsidR="0022244D" w:rsidRPr="00605672" w:rsidRDefault="00A82FB0" w:rsidP="0022244D">
      <w:pPr>
        <w:autoSpaceDE w:val="0"/>
        <w:autoSpaceDN w:val="0"/>
        <w:adjustRightInd w:val="0"/>
        <w:rPr>
          <w:rFonts w:eastAsiaTheme="minorHAnsi"/>
        </w:rPr>
      </w:pPr>
      <w:r>
        <w:rPr>
          <w:rFonts w:eastAsiaTheme="minorHAnsi"/>
        </w:rPr>
        <w:t>———</w:t>
      </w:r>
      <w:r w:rsidR="0022244D" w:rsidRPr="00605672">
        <w:rPr>
          <w:rFonts w:eastAsiaTheme="minorHAnsi"/>
        </w:rPr>
        <w:t xml:space="preserve"> and George John (1988), "The Role of Dependence Balancing in Safeguarding Transaction-Specific Assets in Conventional Channels," </w:t>
      </w:r>
      <w:r w:rsidR="0022244D" w:rsidRPr="00605672">
        <w:rPr>
          <w:rFonts w:eastAsiaTheme="minorHAnsi"/>
          <w:i/>
          <w:iCs/>
        </w:rPr>
        <w:t>Journal of Marketing</w:t>
      </w:r>
      <w:r w:rsidR="0022244D" w:rsidRPr="00605672">
        <w:rPr>
          <w:rFonts w:eastAsiaTheme="minorHAnsi"/>
        </w:rPr>
        <w:t>, 52 (1), 20</w:t>
      </w:r>
      <w:r>
        <w:rPr>
          <w:rFonts w:eastAsiaTheme="minorHAnsi"/>
        </w:rPr>
        <w:t>–</w:t>
      </w:r>
      <w:r w:rsidR="0022244D" w:rsidRPr="00605672">
        <w:rPr>
          <w:rFonts w:eastAsiaTheme="minorHAnsi"/>
        </w:rPr>
        <w:t>35.</w:t>
      </w:r>
    </w:p>
    <w:p w14:paraId="0F73B536" w14:textId="58397926" w:rsidR="0022244D" w:rsidRPr="00605672" w:rsidRDefault="00A82FB0" w:rsidP="004A1B6C">
      <w:pPr>
        <w:widowControl w:val="0"/>
        <w:autoSpaceDE w:val="0"/>
        <w:autoSpaceDN w:val="0"/>
        <w:adjustRightInd w:val="0"/>
        <w:spacing w:beforeLines="50" w:before="120" w:afterLines="50" w:after="120"/>
      </w:pPr>
      <w:r>
        <w:t xml:space="preserve">——— </w:t>
      </w:r>
      <w:r w:rsidR="0022244D" w:rsidRPr="00605672">
        <w:t xml:space="preserve">and </w:t>
      </w:r>
      <w:r>
        <w:t xml:space="preserve">——— </w:t>
      </w:r>
      <w:r w:rsidR="0022244D" w:rsidRPr="00605672">
        <w:t xml:space="preserve">(1990), "Alliances in Industrial Purchasing: The Determinants of Joint Action in Buyer-Supplier Relationships," </w:t>
      </w:r>
      <w:r w:rsidR="0022244D" w:rsidRPr="00605672">
        <w:rPr>
          <w:i/>
          <w:iCs/>
        </w:rPr>
        <w:t>Journal of Marketing Research</w:t>
      </w:r>
      <w:r w:rsidR="0022244D" w:rsidRPr="00605672">
        <w:t>, 27 (February), 24</w:t>
      </w:r>
      <w:r>
        <w:t>–</w:t>
      </w:r>
      <w:r w:rsidR="0022244D" w:rsidRPr="00605672">
        <w:t>36.</w:t>
      </w:r>
    </w:p>
    <w:p w14:paraId="20431184" w14:textId="59BC8242" w:rsidR="0022244D" w:rsidRPr="00605672" w:rsidRDefault="00A82FB0">
      <w:pPr>
        <w:widowControl w:val="0"/>
        <w:autoSpaceDE w:val="0"/>
        <w:autoSpaceDN w:val="0"/>
        <w:adjustRightInd w:val="0"/>
        <w:spacing w:beforeLines="50" w:before="120" w:afterLines="50" w:after="120"/>
      </w:pPr>
      <w:r>
        <w:t xml:space="preserve">——— </w:t>
      </w:r>
      <w:r w:rsidR="0022244D" w:rsidRPr="00605672">
        <w:t xml:space="preserve">and Kenneth. H. Wathne (2006), "Friends, Businesspeople, and Relationship Roles: A Conceptual Framework and a Research Agenda," </w:t>
      </w:r>
      <w:r w:rsidR="0022244D" w:rsidRPr="00605672">
        <w:rPr>
          <w:i/>
          <w:iCs/>
        </w:rPr>
        <w:t>Journal of Marketing</w:t>
      </w:r>
      <w:r w:rsidR="0022244D" w:rsidRPr="00605672">
        <w:t>, 70 (3), 90</w:t>
      </w:r>
      <w:r>
        <w:t>–</w:t>
      </w:r>
      <w:r w:rsidR="0022244D" w:rsidRPr="00605672">
        <w:t>103.</w:t>
      </w:r>
    </w:p>
    <w:p w14:paraId="4803B11F" w14:textId="2FDE0AA0" w:rsidR="0022244D" w:rsidRPr="00605672" w:rsidRDefault="0022244D">
      <w:pPr>
        <w:autoSpaceDE w:val="0"/>
        <w:autoSpaceDN w:val="0"/>
        <w:adjustRightInd w:val="0"/>
        <w:spacing w:beforeLines="50" w:before="120" w:afterLines="50" w:after="120"/>
      </w:pPr>
      <w:r w:rsidRPr="00605672">
        <w:t xml:space="preserve">Jap, Sandy D. and Erin Anderson (2003), "Safeguarding Intraorganizational Performance and Continuity Under Ex Post Opportunism," </w:t>
      </w:r>
      <w:r w:rsidRPr="00605672">
        <w:rPr>
          <w:i/>
          <w:iCs/>
        </w:rPr>
        <w:t>Management Science</w:t>
      </w:r>
      <w:r w:rsidRPr="00605672">
        <w:t>, 49 (12), 1684</w:t>
      </w:r>
      <w:r w:rsidR="00A82FB0">
        <w:t>–</w:t>
      </w:r>
      <w:r w:rsidRPr="00605672">
        <w:t>701.</w:t>
      </w:r>
    </w:p>
    <w:p w14:paraId="50AEC6A1" w14:textId="744A5E22" w:rsidR="0022244D" w:rsidRPr="00605672" w:rsidRDefault="0022244D">
      <w:pPr>
        <w:widowControl w:val="0"/>
        <w:adjustRightInd w:val="0"/>
        <w:spacing w:beforeLines="50" w:before="120" w:afterLines="50" w:after="120"/>
      </w:pPr>
      <w:r w:rsidRPr="00605672">
        <w:t xml:space="preserve">Kashyap, Vishal, Kersi D. Antia, and Gary L. Frazier (2012), "Contracts, Extracontractual Incentives, and Ex Post Behavior in Franchise Channel Relationships," </w:t>
      </w:r>
      <w:r w:rsidRPr="00605672">
        <w:rPr>
          <w:i/>
        </w:rPr>
        <w:t>Journal of Marketing Research</w:t>
      </w:r>
      <w:r w:rsidRPr="00605672">
        <w:t>, 49 (2), 260</w:t>
      </w:r>
      <w:r w:rsidR="00A82FB0">
        <w:t>–</w:t>
      </w:r>
      <w:r w:rsidRPr="00605672">
        <w:t>76.</w:t>
      </w:r>
    </w:p>
    <w:p w14:paraId="5C06FC8E" w14:textId="7833FD93" w:rsidR="0022244D" w:rsidRPr="00605672" w:rsidRDefault="00A82FB0">
      <w:pPr>
        <w:widowControl w:val="0"/>
        <w:adjustRightInd w:val="0"/>
        <w:spacing w:beforeLines="50" w:before="120" w:afterLines="50" w:after="120"/>
      </w:pPr>
      <w:r>
        <w:t xml:space="preserve">——— </w:t>
      </w:r>
      <w:r w:rsidR="0022244D" w:rsidRPr="00605672">
        <w:t xml:space="preserve">and Brian R. Murtha (2017), "The Joint Effects of Ex Ante Contractual Completeness and Ex Post Governance on Compliance in Franchised Marketing Channels," </w:t>
      </w:r>
      <w:r w:rsidR="0022244D" w:rsidRPr="00605672">
        <w:rPr>
          <w:i/>
        </w:rPr>
        <w:t>Journal of Marketing</w:t>
      </w:r>
      <w:r w:rsidR="0022244D" w:rsidRPr="00605672">
        <w:t>, 81 (3), 130</w:t>
      </w:r>
      <w:r>
        <w:t>–</w:t>
      </w:r>
      <w:r w:rsidR="0022244D" w:rsidRPr="00605672">
        <w:t>53.</w:t>
      </w:r>
    </w:p>
    <w:p w14:paraId="1313CD46" w14:textId="1D6EE7FF" w:rsidR="0022244D" w:rsidRPr="00605672" w:rsidRDefault="0022244D">
      <w:pPr>
        <w:widowControl w:val="0"/>
        <w:autoSpaceDE w:val="0"/>
        <w:autoSpaceDN w:val="0"/>
        <w:adjustRightInd w:val="0"/>
        <w:spacing w:beforeLines="50" w:before="120" w:afterLines="50" w:after="120"/>
      </w:pPr>
      <w:r w:rsidRPr="00605672">
        <w:rPr>
          <w:color w:val="222222"/>
          <w:shd w:val="clear" w:color="auto" w:fill="FFFFFF"/>
        </w:rPr>
        <w:t>Klein, Benjamin (1996), "Why Hold</w:t>
      </w:r>
      <w:r w:rsidR="00A82FB0">
        <w:rPr>
          <w:color w:val="222222"/>
          <w:shd w:val="clear" w:color="auto" w:fill="FFFFFF"/>
        </w:rPr>
        <w:t>-U</w:t>
      </w:r>
      <w:r w:rsidRPr="00605672">
        <w:rPr>
          <w:color w:val="222222"/>
          <w:shd w:val="clear" w:color="auto" w:fill="FFFFFF"/>
        </w:rPr>
        <w:t>ps Occur: The Self</w:t>
      </w:r>
      <w:r w:rsidR="00A82FB0">
        <w:rPr>
          <w:color w:val="222222"/>
          <w:shd w:val="clear" w:color="auto" w:fill="FFFFFF"/>
        </w:rPr>
        <w:t>-</w:t>
      </w:r>
      <w:r w:rsidRPr="00605672">
        <w:rPr>
          <w:color w:val="222222"/>
          <w:shd w:val="clear" w:color="auto" w:fill="FFFFFF"/>
        </w:rPr>
        <w:t>Enforcing Range of Contractual Relationships,"</w:t>
      </w:r>
      <w:r w:rsidR="00A82FB0">
        <w:rPr>
          <w:color w:val="222222"/>
          <w:shd w:val="clear" w:color="auto" w:fill="FFFFFF"/>
        </w:rPr>
        <w:t xml:space="preserve"> </w:t>
      </w:r>
      <w:r w:rsidRPr="00605672">
        <w:rPr>
          <w:i/>
          <w:iCs/>
          <w:color w:val="222222"/>
          <w:shd w:val="clear" w:color="auto" w:fill="FFFFFF"/>
        </w:rPr>
        <w:t xml:space="preserve">Economic </w:t>
      </w:r>
      <w:r w:rsidR="00A82FB0">
        <w:rPr>
          <w:i/>
          <w:iCs/>
          <w:color w:val="222222"/>
          <w:shd w:val="clear" w:color="auto" w:fill="FFFFFF"/>
        </w:rPr>
        <w:t>I</w:t>
      </w:r>
      <w:r w:rsidRPr="00605672">
        <w:rPr>
          <w:i/>
          <w:iCs/>
          <w:color w:val="222222"/>
          <w:shd w:val="clear" w:color="auto" w:fill="FFFFFF"/>
        </w:rPr>
        <w:t>nquiry</w:t>
      </w:r>
      <w:r w:rsidRPr="00605672">
        <w:rPr>
          <w:color w:val="222222"/>
          <w:shd w:val="clear" w:color="auto" w:fill="FFFFFF"/>
        </w:rPr>
        <w:t>,</w:t>
      </w:r>
      <w:r w:rsidR="00A82FB0">
        <w:rPr>
          <w:color w:val="222222"/>
          <w:shd w:val="clear" w:color="auto" w:fill="FFFFFF"/>
        </w:rPr>
        <w:t xml:space="preserve"> </w:t>
      </w:r>
      <w:r w:rsidRPr="00605672">
        <w:rPr>
          <w:iCs/>
          <w:color w:val="222222"/>
          <w:shd w:val="clear" w:color="auto" w:fill="FFFFFF"/>
        </w:rPr>
        <w:t xml:space="preserve">34 </w:t>
      </w:r>
      <w:r w:rsidRPr="00605672">
        <w:rPr>
          <w:color w:val="222222"/>
          <w:shd w:val="clear" w:color="auto" w:fill="FFFFFF"/>
        </w:rPr>
        <w:t>(3), 444</w:t>
      </w:r>
      <w:r w:rsidR="00A82FB0">
        <w:rPr>
          <w:color w:val="222222"/>
          <w:shd w:val="clear" w:color="auto" w:fill="FFFFFF"/>
        </w:rPr>
        <w:t>–</w:t>
      </w:r>
      <w:r w:rsidRPr="00605672">
        <w:rPr>
          <w:color w:val="222222"/>
          <w:shd w:val="clear" w:color="auto" w:fill="FFFFFF"/>
        </w:rPr>
        <w:t>63.</w:t>
      </w:r>
    </w:p>
    <w:p w14:paraId="79B6A94E" w14:textId="42C6F448" w:rsidR="0022244D" w:rsidRPr="00605672" w:rsidRDefault="0022244D">
      <w:pPr>
        <w:widowControl w:val="0"/>
        <w:adjustRightInd w:val="0"/>
        <w:spacing w:beforeLines="50" w:before="120" w:afterLines="50" w:after="120"/>
        <w:rPr>
          <w:color w:val="222222"/>
          <w:shd w:val="clear" w:color="auto" w:fill="FFFFFF"/>
        </w:rPr>
      </w:pPr>
      <w:r w:rsidRPr="00605672">
        <w:rPr>
          <w:rFonts w:eastAsiaTheme="minorHAnsi"/>
        </w:rPr>
        <w:t xml:space="preserve">Kirmani, Amna and Akshay R. Rao (2000), "No Pain, No Gain: A Critical Review of the Literature on Signaling Unobservable Product Quality," </w:t>
      </w:r>
      <w:r w:rsidRPr="00605672">
        <w:rPr>
          <w:rFonts w:eastAsiaTheme="minorHAnsi"/>
          <w:i/>
          <w:iCs/>
        </w:rPr>
        <w:t>Journal of Marketing</w:t>
      </w:r>
      <w:r w:rsidRPr="00605672">
        <w:rPr>
          <w:rFonts w:eastAsiaTheme="minorHAnsi"/>
        </w:rPr>
        <w:t>, 64 (2), 66</w:t>
      </w:r>
      <w:r w:rsidR="00A82FB0">
        <w:rPr>
          <w:rFonts w:eastAsiaTheme="minorHAnsi"/>
        </w:rPr>
        <w:t>–</w:t>
      </w:r>
      <w:r w:rsidRPr="00605672">
        <w:rPr>
          <w:rFonts w:eastAsiaTheme="minorHAnsi"/>
        </w:rPr>
        <w:t>79.</w:t>
      </w:r>
    </w:p>
    <w:p w14:paraId="6F89FBFC" w14:textId="65965568" w:rsidR="0022244D" w:rsidRPr="00605672" w:rsidRDefault="0022244D">
      <w:pPr>
        <w:widowControl w:val="0"/>
        <w:adjustRightInd w:val="0"/>
        <w:spacing w:beforeLines="50" w:before="120" w:afterLines="50" w:after="120"/>
      </w:pPr>
      <w:r w:rsidRPr="00605672">
        <w:t xml:space="preserve">Kreps, David M. (1997), "The Interaction Between Norms and Economic Incentives: Intrinsic Motivation and Extrinsic Incentives," </w:t>
      </w:r>
      <w:r w:rsidRPr="00605672">
        <w:rPr>
          <w:i/>
        </w:rPr>
        <w:t>American Economic Review</w:t>
      </w:r>
      <w:r w:rsidRPr="00605672">
        <w:t>, 87 (2), 359</w:t>
      </w:r>
      <w:r w:rsidR="00A82FB0">
        <w:t>–</w:t>
      </w:r>
      <w:r w:rsidRPr="00605672">
        <w:t>64.</w:t>
      </w:r>
    </w:p>
    <w:p w14:paraId="1B94ED0F" w14:textId="53575C29" w:rsidR="0022244D" w:rsidRPr="00A82FB0" w:rsidRDefault="0022244D">
      <w:pPr>
        <w:widowControl w:val="0"/>
        <w:autoSpaceDE w:val="0"/>
        <w:autoSpaceDN w:val="0"/>
        <w:adjustRightInd w:val="0"/>
        <w:spacing w:beforeLines="50" w:before="120" w:afterLines="50" w:after="120"/>
      </w:pPr>
      <w:r w:rsidRPr="00A82FB0">
        <w:t>Kriauciunas, Aldas, Anne Parmigiani, and Miguel Rivera</w:t>
      </w:r>
      <w:r w:rsidR="00AA5B5D" w:rsidRPr="00727D37">
        <w:rPr>
          <w:rFonts w:ascii="American Typewriter Light" w:hAnsi="American Typewriter Light" w:cs="American Typewriter Light"/>
        </w:rPr>
        <w:t>‐</w:t>
      </w:r>
      <w:r w:rsidRPr="00A82FB0">
        <w:t>Santos (2011), "Leaving Our Comfort Zone: Integrating Established Practices with Unique Adaptations to Conduct Survey</w:t>
      </w:r>
      <w:r w:rsidR="00AA5B5D" w:rsidRPr="00727D37">
        <w:rPr>
          <w:rFonts w:ascii="American Typewriter Light" w:hAnsi="American Typewriter Light" w:cs="American Typewriter Light"/>
        </w:rPr>
        <w:t>‐</w:t>
      </w:r>
      <w:r w:rsidR="00AA5B5D" w:rsidRPr="00727D37">
        <w:t>B</w:t>
      </w:r>
      <w:r w:rsidRPr="00A82FB0">
        <w:t xml:space="preserve">ased Strategy Research in Nontraditional Contexts," </w:t>
      </w:r>
      <w:r w:rsidRPr="00A82FB0">
        <w:rPr>
          <w:i/>
          <w:iCs/>
        </w:rPr>
        <w:t>Strategic Management Journal</w:t>
      </w:r>
      <w:r w:rsidRPr="00A82FB0">
        <w:t>, 32 (9), 994</w:t>
      </w:r>
      <w:r w:rsidR="00A82FB0" w:rsidRPr="00A82FB0">
        <w:t>–</w:t>
      </w:r>
      <w:r w:rsidRPr="00A82FB0">
        <w:t>1010.</w:t>
      </w:r>
    </w:p>
    <w:p w14:paraId="3B570B53" w14:textId="77777777" w:rsidR="00E10085" w:rsidRPr="00605672" w:rsidRDefault="00E10085">
      <w:pPr>
        <w:widowControl w:val="0"/>
        <w:autoSpaceDE w:val="0"/>
        <w:autoSpaceDN w:val="0"/>
        <w:adjustRightInd w:val="0"/>
        <w:spacing w:beforeLines="50" w:before="120" w:afterLines="50" w:after="120"/>
      </w:pPr>
      <w:r>
        <w:t xml:space="preserve">Kumar, Nirmalya, </w:t>
      </w:r>
      <w:r w:rsidRPr="00605672">
        <w:t xml:space="preserve">Lisa K. Scheer, and Jan-Benedict E.M. Steenkamp (1995), "The Effects of Perceived Interdependence on Dealer Attitudes," </w:t>
      </w:r>
      <w:r w:rsidRPr="00605672">
        <w:rPr>
          <w:i/>
        </w:rPr>
        <w:t>Journal of Marketing Research</w:t>
      </w:r>
      <w:r>
        <w:t>, 32 (3), 348–</w:t>
      </w:r>
      <w:r w:rsidRPr="00605672">
        <w:t>56.</w:t>
      </w:r>
    </w:p>
    <w:p w14:paraId="155A55CF" w14:textId="53E4EFE0" w:rsidR="0022244D" w:rsidRPr="00605672" w:rsidRDefault="00EB1594">
      <w:pPr>
        <w:widowControl w:val="0"/>
        <w:autoSpaceDE w:val="0"/>
        <w:autoSpaceDN w:val="0"/>
        <w:adjustRightInd w:val="0"/>
        <w:spacing w:beforeLines="50" w:before="120" w:afterLines="50" w:after="120"/>
      </w:pPr>
      <w:r>
        <w:t>———</w:t>
      </w:r>
      <w:r w:rsidR="0022244D" w:rsidRPr="00605672">
        <w:t xml:space="preserve">, Louis W. Stern, and James C. Anderson (1993), "Conducting Interorganizational </w:t>
      </w:r>
      <w:r w:rsidR="0022244D" w:rsidRPr="00605672">
        <w:lastRenderedPageBreak/>
        <w:t xml:space="preserve">Research Using Key Informants," </w:t>
      </w:r>
      <w:r w:rsidR="0022244D" w:rsidRPr="00605672">
        <w:rPr>
          <w:i/>
          <w:iCs/>
        </w:rPr>
        <w:t>Academy of Management Journal</w:t>
      </w:r>
      <w:r w:rsidR="0022244D" w:rsidRPr="00605672">
        <w:t>, 36 (6), 1633</w:t>
      </w:r>
      <w:r w:rsidR="00A82FB0">
        <w:t>–</w:t>
      </w:r>
      <w:r w:rsidR="0022244D" w:rsidRPr="00605672">
        <w:t>51.</w:t>
      </w:r>
    </w:p>
    <w:p w14:paraId="56261D9B" w14:textId="0FE8E19C" w:rsidR="0022244D" w:rsidRPr="00605672" w:rsidRDefault="0022244D">
      <w:pPr>
        <w:widowControl w:val="0"/>
        <w:autoSpaceDE w:val="0"/>
        <w:autoSpaceDN w:val="0"/>
        <w:adjustRightInd w:val="0"/>
        <w:spacing w:beforeLines="50" w:before="120" w:afterLines="50" w:after="120"/>
      </w:pPr>
      <w:r w:rsidRPr="00605672">
        <w:t xml:space="preserve">Liker, Jeffrey K and Thomas Y Choi (2004), "Building Deep Supplier Relationships," </w:t>
      </w:r>
      <w:r w:rsidRPr="00605672">
        <w:rPr>
          <w:i/>
          <w:iCs/>
        </w:rPr>
        <w:t>Harvard Business Review</w:t>
      </w:r>
      <w:r w:rsidRPr="00605672">
        <w:t>, 82 (12), 104</w:t>
      </w:r>
      <w:r w:rsidR="00E10085">
        <w:t>–</w:t>
      </w:r>
      <w:r w:rsidRPr="00605672">
        <w:t>13.</w:t>
      </w:r>
    </w:p>
    <w:p w14:paraId="0F4AAB3D" w14:textId="7423DD48" w:rsidR="0022244D" w:rsidRPr="00605672" w:rsidRDefault="0022244D">
      <w:pPr>
        <w:widowControl w:val="0"/>
        <w:tabs>
          <w:tab w:val="left" w:pos="1980"/>
        </w:tabs>
        <w:autoSpaceDE w:val="0"/>
        <w:autoSpaceDN w:val="0"/>
        <w:adjustRightInd w:val="0"/>
        <w:spacing w:beforeLines="50" w:before="120" w:afterLines="50" w:after="120"/>
      </w:pPr>
      <w:r w:rsidRPr="00605672">
        <w:t xml:space="preserve">Lindell, Michael K. and David J. Whitney (2001), "Accounting for Common Method Variance in Cross-Sectional Research Designs," </w:t>
      </w:r>
      <w:r w:rsidRPr="00605672">
        <w:rPr>
          <w:i/>
          <w:iCs/>
        </w:rPr>
        <w:t>Journal of Applied Psychology</w:t>
      </w:r>
      <w:r w:rsidRPr="00605672">
        <w:t>, 86 (1), 114</w:t>
      </w:r>
      <w:r w:rsidR="00E10085">
        <w:t>–</w:t>
      </w:r>
      <w:r w:rsidRPr="00605672">
        <w:t>21.</w:t>
      </w:r>
    </w:p>
    <w:p w14:paraId="3E97F42A" w14:textId="77777777" w:rsidR="0022244D" w:rsidRPr="00605672" w:rsidRDefault="0022244D">
      <w:pPr>
        <w:widowControl w:val="0"/>
        <w:autoSpaceDE w:val="0"/>
        <w:autoSpaceDN w:val="0"/>
        <w:adjustRightInd w:val="0"/>
        <w:spacing w:beforeLines="50" w:before="120" w:afterLines="50" w:after="120"/>
      </w:pPr>
      <w:r w:rsidRPr="00605672">
        <w:t xml:space="preserve">Lindenberg, Siegwart (2013), "Cognition and Governance: Why Incentives Have to Take the Back Seat," in </w:t>
      </w:r>
      <w:r w:rsidRPr="00605672">
        <w:rPr>
          <w:i/>
          <w:iCs/>
        </w:rPr>
        <w:t>Handbook of Economic Organization</w:t>
      </w:r>
      <w:r w:rsidRPr="00605672">
        <w:t>, Anna Grandori, ed. London: Elgar.</w:t>
      </w:r>
    </w:p>
    <w:p w14:paraId="667EC127" w14:textId="1EED1B87" w:rsidR="0022244D" w:rsidRPr="00605672" w:rsidRDefault="0022244D">
      <w:pPr>
        <w:widowControl w:val="0"/>
        <w:adjustRightInd w:val="0"/>
        <w:spacing w:beforeLines="50" w:before="120" w:afterLines="50" w:after="120"/>
      </w:pPr>
      <w:r w:rsidRPr="00605672">
        <w:t xml:space="preserve">Mayer, Kyle J. (2009), "Construct Validity and Other Empirical Issues in Transaction Cost Economics Research," in </w:t>
      </w:r>
      <w:r w:rsidRPr="00605672">
        <w:rPr>
          <w:i/>
        </w:rPr>
        <w:t>Research Methodology in Strategy and Management</w:t>
      </w:r>
      <w:r w:rsidRPr="00605672">
        <w:t xml:space="preserve">, </w:t>
      </w:r>
      <w:r w:rsidR="00E10085">
        <w:t xml:space="preserve">Vol. 5, </w:t>
      </w:r>
      <w:r w:rsidRPr="00605672">
        <w:t xml:space="preserve">David Ketchen and Don Bergh, eds. : </w:t>
      </w:r>
      <w:r w:rsidR="008F5C97">
        <w:t xml:space="preserve">Bingley, UK: </w:t>
      </w:r>
      <w:r w:rsidRPr="00605672">
        <w:t>Emerald Group Publishing Limited.</w:t>
      </w:r>
    </w:p>
    <w:p w14:paraId="27C4E377" w14:textId="77777777" w:rsidR="0022244D" w:rsidRPr="00605672" w:rsidRDefault="0022244D">
      <w:pPr>
        <w:widowControl w:val="0"/>
        <w:adjustRightInd w:val="0"/>
        <w:spacing w:beforeLines="50" w:before="120" w:afterLines="50" w:after="120"/>
      </w:pPr>
      <w:r w:rsidRPr="00605672">
        <w:t xml:space="preserve">McEvily, Bill, Akbar Zaheer, and Darcy K. Fudge Kamal (2017), "Mutual and Exclusive: Dyadic Sources of Trust in Interorganizational Exchange," </w:t>
      </w:r>
      <w:r w:rsidRPr="00605672">
        <w:rPr>
          <w:i/>
          <w:iCs/>
        </w:rPr>
        <w:t>Organization Science</w:t>
      </w:r>
      <w:r w:rsidRPr="00605672">
        <w:t>, forthcoming.</w:t>
      </w:r>
    </w:p>
    <w:p w14:paraId="47570E18" w14:textId="77777777" w:rsidR="0022244D" w:rsidRPr="00605672" w:rsidRDefault="0022244D">
      <w:pPr>
        <w:widowControl w:val="0"/>
        <w:autoSpaceDE w:val="0"/>
        <w:autoSpaceDN w:val="0"/>
        <w:adjustRightInd w:val="0"/>
        <w:spacing w:beforeLines="50" w:before="120" w:afterLines="50" w:after="120"/>
      </w:pPr>
      <w:r w:rsidRPr="00605672">
        <w:t xml:space="preserve">Merton, Robert (1957), </w:t>
      </w:r>
      <w:r w:rsidR="00AA5B5D" w:rsidRPr="00727D37">
        <w:rPr>
          <w:i/>
        </w:rPr>
        <w:t>Social Theory and Social Structure</w:t>
      </w:r>
      <w:r w:rsidRPr="00605672">
        <w:t>. Glencoe, IL: The Free Press.</w:t>
      </w:r>
    </w:p>
    <w:p w14:paraId="71C47B98" w14:textId="77777777" w:rsidR="0022244D" w:rsidRPr="00605672" w:rsidRDefault="0022244D">
      <w:pPr>
        <w:widowControl w:val="0"/>
        <w:autoSpaceDE w:val="0"/>
        <w:autoSpaceDN w:val="0"/>
        <w:adjustRightInd w:val="0"/>
        <w:spacing w:beforeLines="50" w:before="120" w:afterLines="50" w:after="120"/>
      </w:pPr>
      <w:r w:rsidRPr="00605672">
        <w:t xml:space="preserve">Oxley, Joanne E and Brian S Silverman (2008), "Inter-Firm Alliances: A New Institutional Economics Approach," in </w:t>
      </w:r>
      <w:r w:rsidRPr="00605672">
        <w:rPr>
          <w:i/>
          <w:iCs/>
        </w:rPr>
        <w:t>New Institutional Economics</w:t>
      </w:r>
      <w:r w:rsidRPr="00605672">
        <w:t>, Éric Brousseau and Jean-Michel Glachant, eds. N</w:t>
      </w:r>
      <w:r w:rsidR="00E10085">
        <w:t xml:space="preserve">ew </w:t>
      </w:r>
      <w:r w:rsidRPr="00605672">
        <w:t>Y</w:t>
      </w:r>
      <w:r w:rsidR="00E10085">
        <w:t>ork</w:t>
      </w:r>
      <w:r w:rsidRPr="00605672">
        <w:t>: Cambridge University Press.</w:t>
      </w:r>
    </w:p>
    <w:p w14:paraId="19C65DFF" w14:textId="0945D400" w:rsidR="0022244D" w:rsidRPr="00605672" w:rsidRDefault="0022244D">
      <w:pPr>
        <w:widowControl w:val="0"/>
        <w:adjustRightInd w:val="0"/>
        <w:spacing w:beforeLines="50" w:before="120" w:afterLines="50" w:after="120"/>
      </w:pPr>
      <w:r w:rsidRPr="00605672">
        <w:t xml:space="preserve">Palmatier, Robert W., Srinath Gopalakrishna, and Mark B. Houston (2006), "Returns on Business-to-Business Relationship Marketing Investments: Strategies for Leveraging Profits," </w:t>
      </w:r>
      <w:r w:rsidRPr="00605672">
        <w:rPr>
          <w:i/>
        </w:rPr>
        <w:t>Marketing Science</w:t>
      </w:r>
      <w:r w:rsidRPr="00605672">
        <w:t>, 25 (6), 447</w:t>
      </w:r>
      <w:r w:rsidR="00E10085">
        <w:t>–</w:t>
      </w:r>
      <w:r w:rsidRPr="00605672">
        <w:t>93.</w:t>
      </w:r>
    </w:p>
    <w:p w14:paraId="6A10C924" w14:textId="5440A27F" w:rsidR="0022244D" w:rsidRPr="00605672" w:rsidRDefault="0022244D">
      <w:pPr>
        <w:widowControl w:val="0"/>
        <w:tabs>
          <w:tab w:val="left" w:pos="2880"/>
        </w:tabs>
        <w:autoSpaceDE w:val="0"/>
        <w:autoSpaceDN w:val="0"/>
        <w:adjustRightInd w:val="0"/>
        <w:spacing w:beforeLines="50" w:before="120" w:afterLines="50" w:after="120"/>
      </w:pPr>
      <w:r w:rsidRPr="00605672">
        <w:t xml:space="preserve">Poppo, Laura and Todd Zenger (2002), "Do Formal Contracts and Relational Governance Function as Substitutes or Complements?" </w:t>
      </w:r>
      <w:r w:rsidRPr="00605672">
        <w:rPr>
          <w:i/>
          <w:iCs/>
        </w:rPr>
        <w:t>Strategic Management Journal</w:t>
      </w:r>
      <w:r w:rsidRPr="00605672">
        <w:t>, 23 (August), 707</w:t>
      </w:r>
      <w:r w:rsidR="00E10085">
        <w:t>–</w:t>
      </w:r>
      <w:r w:rsidRPr="00605672">
        <w:t>25.</w:t>
      </w:r>
    </w:p>
    <w:p w14:paraId="21014B30" w14:textId="4EA6D407" w:rsidR="0022244D" w:rsidRPr="00605672" w:rsidRDefault="0022244D">
      <w:pPr>
        <w:widowControl w:val="0"/>
        <w:autoSpaceDE w:val="0"/>
        <w:autoSpaceDN w:val="0"/>
        <w:adjustRightInd w:val="0"/>
        <w:spacing w:beforeLines="50" w:before="120" w:afterLines="50" w:after="120"/>
      </w:pPr>
      <w:r w:rsidRPr="00605672">
        <w:t xml:space="preserve">Rindfleisch, Aric, Kersi Antia, Janet Bercovitz, James R. Brown, Joseph Cannon, Stephen J. Carson, Mrinal Ghosh, Susan Helper, Diana C. Robertson, and Kenneth H. Wathne (2010), "Transaction Costs, Opportunism, and Governance: Contextual Considerations and Future Research Opportunities," </w:t>
      </w:r>
      <w:r w:rsidRPr="00605672">
        <w:rPr>
          <w:i/>
          <w:iCs/>
        </w:rPr>
        <w:t>Marketing Letters</w:t>
      </w:r>
      <w:r w:rsidRPr="00605672">
        <w:t>, 21 (3), 211</w:t>
      </w:r>
      <w:r w:rsidR="00E10085">
        <w:t>–</w:t>
      </w:r>
      <w:r w:rsidRPr="00605672">
        <w:t>22.</w:t>
      </w:r>
    </w:p>
    <w:p w14:paraId="49AE3380" w14:textId="7120EDFA" w:rsidR="0022244D" w:rsidRPr="00605672" w:rsidRDefault="0022244D" w:rsidP="0022244D">
      <w:pPr>
        <w:autoSpaceDE w:val="0"/>
        <w:autoSpaceDN w:val="0"/>
        <w:adjustRightInd w:val="0"/>
      </w:pPr>
      <w:r w:rsidRPr="00605672">
        <w:t xml:space="preserve">Rokkan, Aksel I., Jan B. Heide, and Kenneth H. Wathne (2003), "Specific Investments in Marketing Relationships: Expropriation and Bonding Effects," </w:t>
      </w:r>
      <w:r w:rsidRPr="00605672">
        <w:rPr>
          <w:i/>
          <w:iCs/>
        </w:rPr>
        <w:t>Journal of Marketing Research</w:t>
      </w:r>
      <w:r w:rsidRPr="00605672">
        <w:t>, 40 (May), 210</w:t>
      </w:r>
      <w:r w:rsidR="00E10085">
        <w:t>–</w:t>
      </w:r>
      <w:r w:rsidRPr="00605672">
        <w:t>24.</w:t>
      </w:r>
    </w:p>
    <w:p w14:paraId="3AFA7EC8" w14:textId="77777777" w:rsidR="0022244D" w:rsidRPr="00605672" w:rsidRDefault="0022244D" w:rsidP="004A1B6C">
      <w:pPr>
        <w:widowControl w:val="0"/>
        <w:adjustRightInd w:val="0"/>
        <w:spacing w:beforeLines="50" w:before="120" w:afterLines="50" w:after="120"/>
      </w:pPr>
      <w:r w:rsidRPr="00605672">
        <w:t xml:space="preserve">Stovel, Katherine and Christine Fountain (2009), "Matching," </w:t>
      </w:r>
      <w:r w:rsidRPr="00605672">
        <w:rPr>
          <w:i/>
          <w:iCs/>
        </w:rPr>
        <w:t>The Oxford Handbook of Analytical Sociology</w:t>
      </w:r>
      <w:r w:rsidRPr="00605672">
        <w:t>, 365-90.</w:t>
      </w:r>
    </w:p>
    <w:p w14:paraId="36DE8ADC" w14:textId="17567D12" w:rsidR="0022244D" w:rsidRPr="00605672" w:rsidRDefault="0022244D">
      <w:pPr>
        <w:widowControl w:val="0"/>
        <w:adjustRightInd w:val="0"/>
        <w:spacing w:beforeLines="50" w:before="120" w:afterLines="50" w:after="120"/>
      </w:pPr>
      <w:r w:rsidRPr="00605672">
        <w:t xml:space="preserve">Telser, Lester G. (1980), "A Theory of Self-Enforcing Agreements," </w:t>
      </w:r>
      <w:r w:rsidRPr="00605672">
        <w:rPr>
          <w:i/>
        </w:rPr>
        <w:t>Journal of Business</w:t>
      </w:r>
      <w:r w:rsidRPr="00605672">
        <w:t>, 53 (1), 27</w:t>
      </w:r>
      <w:r w:rsidR="00E10085">
        <w:t>–</w:t>
      </w:r>
      <w:r w:rsidRPr="00605672">
        <w:t>44.</w:t>
      </w:r>
    </w:p>
    <w:p w14:paraId="1281E959" w14:textId="6C08C8B8" w:rsidR="0022244D" w:rsidRPr="00605672" w:rsidRDefault="0022244D">
      <w:pPr>
        <w:widowControl w:val="0"/>
        <w:adjustRightInd w:val="0"/>
        <w:spacing w:beforeLines="50" w:before="120" w:afterLines="50" w:after="120"/>
      </w:pPr>
      <w:r w:rsidRPr="00605672">
        <w:t xml:space="preserve">Verhoef, Peter C. and Peter S.H. Leeflang (2009), "Understanding the Marketing Department’s Influence Within the Firm," </w:t>
      </w:r>
      <w:r w:rsidRPr="00605672">
        <w:rPr>
          <w:i/>
          <w:iCs/>
        </w:rPr>
        <w:t>Journal of Marketing</w:t>
      </w:r>
      <w:r w:rsidRPr="00605672">
        <w:t>, 73 (March), 14</w:t>
      </w:r>
      <w:r w:rsidR="00E10085">
        <w:t>–</w:t>
      </w:r>
      <w:r w:rsidRPr="00605672">
        <w:t>37.</w:t>
      </w:r>
    </w:p>
    <w:p w14:paraId="1CE1C37E" w14:textId="0F5BD564" w:rsidR="0022244D" w:rsidRPr="00605672" w:rsidRDefault="0022244D">
      <w:pPr>
        <w:autoSpaceDE w:val="0"/>
        <w:autoSpaceDN w:val="0"/>
        <w:adjustRightInd w:val="0"/>
        <w:spacing w:beforeLines="50" w:before="120" w:afterLines="50" w:after="120"/>
      </w:pPr>
      <w:r w:rsidRPr="00605672">
        <w:t>Vosgerau, Joachim, Erin Anderson, and William T</w:t>
      </w:r>
      <w:r w:rsidR="00E10085">
        <w:t>.</w:t>
      </w:r>
      <w:r w:rsidRPr="00605672">
        <w:t xml:space="preserve"> Ross Jr</w:t>
      </w:r>
      <w:r w:rsidR="00E10085">
        <w:t>.</w:t>
      </w:r>
      <w:r w:rsidRPr="00605672">
        <w:t xml:space="preserve"> (2008), "Can Inaccurate Perceptions in Business-to-Business (B2B) Relationships </w:t>
      </w:r>
      <w:r w:rsidR="00E10085">
        <w:t>B</w:t>
      </w:r>
      <w:r w:rsidRPr="00605672">
        <w:t xml:space="preserve">e Beneficial?" </w:t>
      </w:r>
      <w:r w:rsidRPr="00605672">
        <w:rPr>
          <w:i/>
          <w:iCs/>
        </w:rPr>
        <w:t>Marketing Science</w:t>
      </w:r>
      <w:r w:rsidRPr="00605672">
        <w:t>, 27 (2), 205</w:t>
      </w:r>
      <w:r w:rsidR="00E10085">
        <w:t>–</w:t>
      </w:r>
      <w:r w:rsidRPr="00605672">
        <w:t>24.</w:t>
      </w:r>
    </w:p>
    <w:p w14:paraId="1C15692E" w14:textId="511615C0" w:rsidR="0022244D" w:rsidRPr="00605672" w:rsidRDefault="0022244D">
      <w:pPr>
        <w:widowControl w:val="0"/>
        <w:autoSpaceDE w:val="0"/>
        <w:autoSpaceDN w:val="0"/>
        <w:adjustRightInd w:val="0"/>
        <w:spacing w:beforeLines="50" w:before="120" w:afterLines="50" w:after="120"/>
      </w:pPr>
      <w:r w:rsidRPr="00605672">
        <w:t xml:space="preserve">Wathne, Kenneth H. and Jan B. Heide (2004), "Relationship Governance in a Supply Chain Network," </w:t>
      </w:r>
      <w:r w:rsidRPr="00605672">
        <w:rPr>
          <w:i/>
          <w:iCs/>
        </w:rPr>
        <w:t>Journal of Marketing</w:t>
      </w:r>
      <w:r w:rsidRPr="00605672">
        <w:t>, 68 (January), 73</w:t>
      </w:r>
      <w:r w:rsidR="00E10085">
        <w:t>–</w:t>
      </w:r>
      <w:r w:rsidRPr="00605672">
        <w:t>89.</w:t>
      </w:r>
    </w:p>
    <w:p w14:paraId="7C70CA39" w14:textId="574D4EF9" w:rsidR="0022244D" w:rsidRPr="00605672" w:rsidRDefault="0022244D">
      <w:pPr>
        <w:widowControl w:val="0"/>
        <w:autoSpaceDE w:val="0"/>
        <w:autoSpaceDN w:val="0"/>
        <w:adjustRightInd w:val="0"/>
        <w:spacing w:beforeLines="50" w:before="120" w:afterLines="50" w:after="120"/>
      </w:pPr>
      <w:r w:rsidRPr="00605672">
        <w:t xml:space="preserve">Weiss, Allen M. and Nancy Kurland (1997), "Holding Distribution Channel Relationships </w:t>
      </w:r>
      <w:r w:rsidRPr="00605672">
        <w:lastRenderedPageBreak/>
        <w:t xml:space="preserve">Together: The Role of Transaction-Specific Assets and Length of Prior Relationships," </w:t>
      </w:r>
      <w:r w:rsidRPr="00605672">
        <w:rPr>
          <w:i/>
          <w:iCs/>
        </w:rPr>
        <w:t>Organization Science</w:t>
      </w:r>
      <w:r w:rsidRPr="00605672">
        <w:t>, 8 (6), 612</w:t>
      </w:r>
      <w:r w:rsidR="00E10085">
        <w:t>–</w:t>
      </w:r>
      <w:r w:rsidRPr="00605672">
        <w:t>24.</w:t>
      </w:r>
    </w:p>
    <w:p w14:paraId="0E0AD59C" w14:textId="4BDB99B2" w:rsidR="0022244D" w:rsidRPr="00605672" w:rsidRDefault="0022244D">
      <w:pPr>
        <w:widowControl w:val="0"/>
        <w:adjustRightInd w:val="0"/>
        <w:spacing w:beforeLines="50" w:before="120" w:afterLines="50" w:after="120"/>
      </w:pPr>
      <w:r w:rsidRPr="00605672">
        <w:t xml:space="preserve">Wuyts, Stefan and Inge Geyskens (2005), "The Formation of Buyer–Supplier Relationships: Detailed Contact Drafting and Close Partner Selection," </w:t>
      </w:r>
      <w:r w:rsidRPr="00605672">
        <w:rPr>
          <w:i/>
        </w:rPr>
        <w:t>Journal of Marketing</w:t>
      </w:r>
      <w:r w:rsidRPr="00605672">
        <w:t>, 69 (4), 103</w:t>
      </w:r>
      <w:r w:rsidR="00E10085">
        <w:t>–</w:t>
      </w:r>
      <w:r w:rsidRPr="00605672">
        <w:t>17.</w:t>
      </w:r>
    </w:p>
    <w:p w14:paraId="50B18089" w14:textId="42A42971" w:rsidR="0022244D" w:rsidRPr="00605672" w:rsidRDefault="0022244D">
      <w:pPr>
        <w:widowControl w:val="0"/>
        <w:autoSpaceDE w:val="0"/>
        <w:autoSpaceDN w:val="0"/>
        <w:adjustRightInd w:val="0"/>
        <w:spacing w:beforeLines="50" w:before="120" w:afterLines="50" w:after="120"/>
      </w:pPr>
      <w:r w:rsidRPr="00605672">
        <w:t xml:space="preserve">Williamson, Oliver (1983), "Credible Commitments: Using Hostages to Support Exchange," </w:t>
      </w:r>
      <w:r w:rsidRPr="00605672">
        <w:rPr>
          <w:i/>
        </w:rPr>
        <w:t>American Economic Review</w:t>
      </w:r>
      <w:r w:rsidRPr="00605672">
        <w:t>, 73 (September), 519</w:t>
      </w:r>
      <w:r w:rsidR="00E10085">
        <w:t>–</w:t>
      </w:r>
      <w:r w:rsidRPr="00605672">
        <w:t>40.</w:t>
      </w:r>
    </w:p>
    <w:p w14:paraId="449CF0D2" w14:textId="2ED69D7B" w:rsidR="0022244D" w:rsidRPr="00605672" w:rsidRDefault="00E10085">
      <w:pPr>
        <w:widowControl w:val="0"/>
        <w:autoSpaceDE w:val="0"/>
        <w:autoSpaceDN w:val="0"/>
        <w:adjustRightInd w:val="0"/>
        <w:spacing w:beforeLines="50" w:before="120" w:afterLines="50" w:after="120"/>
      </w:pPr>
      <w:r>
        <w:t xml:space="preserve">——— </w:t>
      </w:r>
      <w:r w:rsidR="0022244D" w:rsidRPr="00605672">
        <w:t xml:space="preserve">(1985), </w:t>
      </w:r>
      <w:r w:rsidR="0022244D" w:rsidRPr="00605672">
        <w:rPr>
          <w:i/>
        </w:rPr>
        <w:t>The Economic Institutions of Capitalism: Firms, Markets, Relational Contracting</w:t>
      </w:r>
      <w:r w:rsidR="0022244D" w:rsidRPr="00605672">
        <w:t xml:space="preserve"> (2nd ed.). New York: The Free Press.</w:t>
      </w:r>
    </w:p>
    <w:p w14:paraId="53CF7517" w14:textId="75A3D2D5" w:rsidR="0022244D" w:rsidRPr="00605672" w:rsidRDefault="00E10085" w:rsidP="0022244D">
      <w:pPr>
        <w:autoSpaceDE w:val="0"/>
        <w:autoSpaceDN w:val="0"/>
        <w:adjustRightInd w:val="0"/>
        <w:rPr>
          <w:lang w:eastAsia="en-GB"/>
        </w:rPr>
      </w:pPr>
      <w:r>
        <w:rPr>
          <w:lang w:eastAsia="en-GB"/>
        </w:rPr>
        <w:t xml:space="preserve">——— </w:t>
      </w:r>
      <w:r w:rsidR="0022244D" w:rsidRPr="00605672">
        <w:rPr>
          <w:lang w:eastAsia="en-GB"/>
        </w:rPr>
        <w:t xml:space="preserve">(2010), "Transaction Cost Economics: The Natural Progression," </w:t>
      </w:r>
      <w:r w:rsidR="0022244D" w:rsidRPr="00605672">
        <w:rPr>
          <w:i/>
          <w:iCs/>
          <w:lang w:eastAsia="en-GB"/>
        </w:rPr>
        <w:t>American Economic Review</w:t>
      </w:r>
      <w:r w:rsidR="0022244D" w:rsidRPr="00605672">
        <w:rPr>
          <w:lang w:eastAsia="en-GB"/>
        </w:rPr>
        <w:t>, 100 (3), 673</w:t>
      </w:r>
      <w:r>
        <w:rPr>
          <w:lang w:eastAsia="en-GB"/>
        </w:rPr>
        <w:t>–</w:t>
      </w:r>
      <w:r w:rsidR="0022244D" w:rsidRPr="00605672">
        <w:rPr>
          <w:lang w:eastAsia="en-GB"/>
        </w:rPr>
        <w:t>90.</w:t>
      </w:r>
    </w:p>
    <w:p w14:paraId="58CBD429" w14:textId="77777777" w:rsidR="00A9561D" w:rsidRPr="00605672" w:rsidRDefault="00A9561D">
      <w:pPr>
        <w:widowControl w:val="0"/>
        <w:autoSpaceDE w:val="0"/>
        <w:autoSpaceDN w:val="0"/>
        <w:adjustRightInd w:val="0"/>
        <w:spacing w:beforeLines="50" w:before="120" w:afterLines="50" w:after="120"/>
        <w:sectPr w:rsidR="00A9561D" w:rsidRPr="00605672" w:rsidSect="00A24E3A">
          <w:footerReference w:type="even" r:id="rId9"/>
          <w:footerReference w:type="default" r:id="rId10"/>
          <w:pgSz w:w="12240" w:h="15840"/>
          <w:pgMar w:top="1440" w:right="1440" w:bottom="1440" w:left="1440" w:header="720" w:footer="720" w:gutter="0"/>
          <w:cols w:space="720"/>
          <w:docGrid w:linePitch="360"/>
        </w:sectPr>
      </w:pPr>
    </w:p>
    <w:p w14:paraId="1E971CD0" w14:textId="28DC24CD" w:rsidR="000A3480" w:rsidRPr="00605672" w:rsidRDefault="000A3480" w:rsidP="000A3480">
      <w:pPr>
        <w:spacing w:after="200" w:line="276" w:lineRule="auto"/>
        <w:jc w:val="center"/>
        <w:rPr>
          <w:b/>
        </w:rPr>
      </w:pPr>
      <w:r w:rsidRPr="00605672">
        <w:rPr>
          <w:b/>
        </w:rPr>
        <w:lastRenderedPageBreak/>
        <w:t>Table 1</w:t>
      </w:r>
      <w:r w:rsidR="00FC679E">
        <w:rPr>
          <w:b/>
        </w:rPr>
        <w:t>.</w:t>
      </w:r>
      <w:r w:rsidRPr="00605672">
        <w:rPr>
          <w:b/>
        </w:rPr>
        <w:t xml:space="preserve"> Key Descriptive</w:t>
      </w:r>
      <w:r w:rsidR="00FC679E">
        <w:rPr>
          <w:b/>
        </w:rPr>
        <w:t xml:space="preserve"> Statistic</w:t>
      </w:r>
      <w:r w:rsidRPr="00605672">
        <w:rPr>
          <w:b/>
        </w:rPr>
        <w:t>s</w:t>
      </w:r>
    </w:p>
    <w:tbl>
      <w:tblPr>
        <w:tblW w:w="14255" w:type="dxa"/>
        <w:jc w:val="center"/>
        <w:tblLayout w:type="fixed"/>
        <w:tblLook w:val="04A0" w:firstRow="1" w:lastRow="0" w:firstColumn="1" w:lastColumn="0" w:noHBand="0" w:noVBand="1"/>
      </w:tblPr>
      <w:tblGrid>
        <w:gridCol w:w="4518"/>
        <w:gridCol w:w="572"/>
        <w:gridCol w:w="573"/>
        <w:gridCol w:w="573"/>
        <w:gridCol w:w="573"/>
        <w:gridCol w:w="572"/>
        <w:gridCol w:w="573"/>
        <w:gridCol w:w="573"/>
        <w:gridCol w:w="573"/>
        <w:gridCol w:w="572"/>
        <w:gridCol w:w="573"/>
        <w:gridCol w:w="573"/>
        <w:gridCol w:w="573"/>
        <w:gridCol w:w="572"/>
        <w:gridCol w:w="573"/>
        <w:gridCol w:w="573"/>
        <w:gridCol w:w="573"/>
        <w:gridCol w:w="573"/>
      </w:tblGrid>
      <w:tr w:rsidR="0062648F" w:rsidRPr="00605672" w14:paraId="01B71ABE" w14:textId="77777777" w:rsidTr="0062648F">
        <w:trPr>
          <w:trHeight w:val="170"/>
          <w:jc w:val="center"/>
        </w:trPr>
        <w:tc>
          <w:tcPr>
            <w:tcW w:w="4518" w:type="dxa"/>
            <w:tcBorders>
              <w:top w:val="double" w:sz="4" w:space="0" w:color="auto"/>
              <w:bottom w:val="single" w:sz="4" w:space="0" w:color="auto"/>
            </w:tcBorders>
            <w:shd w:val="clear" w:color="auto" w:fill="auto"/>
            <w:noWrap/>
            <w:hideMark/>
          </w:tcPr>
          <w:p w14:paraId="26390AF7" w14:textId="77777777" w:rsidR="000A3480" w:rsidRPr="00605672" w:rsidRDefault="000A3480" w:rsidP="004B0C26">
            <w:pPr>
              <w:spacing w:after="200" w:line="276" w:lineRule="auto"/>
              <w:rPr>
                <w:sz w:val="18"/>
                <w:szCs w:val="18"/>
              </w:rPr>
            </w:pPr>
          </w:p>
        </w:tc>
        <w:tc>
          <w:tcPr>
            <w:tcW w:w="572" w:type="dxa"/>
            <w:tcBorders>
              <w:top w:val="double" w:sz="4" w:space="0" w:color="auto"/>
              <w:bottom w:val="single" w:sz="4" w:space="0" w:color="auto"/>
            </w:tcBorders>
            <w:shd w:val="clear" w:color="auto" w:fill="auto"/>
            <w:noWrap/>
            <w:hideMark/>
          </w:tcPr>
          <w:p w14:paraId="7566706E" w14:textId="77777777" w:rsidR="000A3480" w:rsidRPr="00605672" w:rsidRDefault="000C5787" w:rsidP="004B0C26">
            <w:pPr>
              <w:jc w:val="right"/>
              <w:rPr>
                <w:rFonts w:eastAsia="Times New Roman"/>
                <w:sz w:val="18"/>
                <w:szCs w:val="18"/>
              </w:rPr>
            </w:pPr>
            <w:r w:rsidRPr="00605672">
              <w:rPr>
                <w:rFonts w:eastAsia="Times New Roman"/>
                <w:sz w:val="18"/>
                <w:szCs w:val="18"/>
              </w:rPr>
              <w:t>1</w:t>
            </w:r>
          </w:p>
        </w:tc>
        <w:tc>
          <w:tcPr>
            <w:tcW w:w="573" w:type="dxa"/>
            <w:tcBorders>
              <w:top w:val="double" w:sz="4" w:space="0" w:color="auto"/>
              <w:bottom w:val="single" w:sz="4" w:space="0" w:color="auto"/>
            </w:tcBorders>
            <w:shd w:val="clear" w:color="auto" w:fill="auto"/>
            <w:noWrap/>
            <w:hideMark/>
          </w:tcPr>
          <w:p w14:paraId="75F42FD5" w14:textId="77777777" w:rsidR="000A3480" w:rsidRPr="00605672" w:rsidRDefault="000C5787" w:rsidP="004B0C26">
            <w:pPr>
              <w:jc w:val="right"/>
              <w:rPr>
                <w:rFonts w:eastAsia="Times New Roman"/>
                <w:sz w:val="18"/>
                <w:szCs w:val="18"/>
              </w:rPr>
            </w:pPr>
            <w:r w:rsidRPr="00605672">
              <w:rPr>
                <w:rFonts w:eastAsia="Times New Roman"/>
                <w:sz w:val="18"/>
                <w:szCs w:val="18"/>
              </w:rPr>
              <w:t>2</w:t>
            </w:r>
          </w:p>
        </w:tc>
        <w:tc>
          <w:tcPr>
            <w:tcW w:w="573" w:type="dxa"/>
            <w:tcBorders>
              <w:top w:val="double" w:sz="4" w:space="0" w:color="auto"/>
              <w:bottom w:val="single" w:sz="4" w:space="0" w:color="auto"/>
            </w:tcBorders>
            <w:shd w:val="clear" w:color="auto" w:fill="auto"/>
            <w:noWrap/>
            <w:hideMark/>
          </w:tcPr>
          <w:p w14:paraId="33DBF298" w14:textId="77777777" w:rsidR="000A3480" w:rsidRPr="00605672" w:rsidRDefault="000C5787" w:rsidP="004B0C26">
            <w:pPr>
              <w:jc w:val="right"/>
              <w:rPr>
                <w:rFonts w:eastAsia="Times New Roman"/>
                <w:sz w:val="18"/>
                <w:szCs w:val="18"/>
              </w:rPr>
            </w:pPr>
            <w:r w:rsidRPr="00605672">
              <w:rPr>
                <w:rFonts w:eastAsia="Times New Roman"/>
                <w:sz w:val="18"/>
                <w:szCs w:val="18"/>
              </w:rPr>
              <w:t>3</w:t>
            </w:r>
          </w:p>
        </w:tc>
        <w:tc>
          <w:tcPr>
            <w:tcW w:w="573" w:type="dxa"/>
            <w:tcBorders>
              <w:top w:val="double" w:sz="4" w:space="0" w:color="auto"/>
              <w:bottom w:val="single" w:sz="4" w:space="0" w:color="auto"/>
            </w:tcBorders>
            <w:shd w:val="clear" w:color="auto" w:fill="auto"/>
            <w:noWrap/>
            <w:hideMark/>
          </w:tcPr>
          <w:p w14:paraId="17F68092" w14:textId="77777777" w:rsidR="000A3480" w:rsidRPr="00605672" w:rsidRDefault="000C5787" w:rsidP="004B0C26">
            <w:pPr>
              <w:jc w:val="right"/>
              <w:rPr>
                <w:rFonts w:eastAsia="Times New Roman"/>
                <w:sz w:val="18"/>
                <w:szCs w:val="18"/>
              </w:rPr>
            </w:pPr>
            <w:r w:rsidRPr="00605672">
              <w:rPr>
                <w:rFonts w:eastAsia="Times New Roman"/>
                <w:sz w:val="18"/>
                <w:szCs w:val="18"/>
              </w:rPr>
              <w:t>4</w:t>
            </w:r>
          </w:p>
        </w:tc>
        <w:tc>
          <w:tcPr>
            <w:tcW w:w="572" w:type="dxa"/>
            <w:tcBorders>
              <w:top w:val="double" w:sz="4" w:space="0" w:color="auto"/>
              <w:bottom w:val="single" w:sz="4" w:space="0" w:color="auto"/>
            </w:tcBorders>
            <w:shd w:val="clear" w:color="auto" w:fill="auto"/>
            <w:noWrap/>
            <w:hideMark/>
          </w:tcPr>
          <w:p w14:paraId="66AF223A" w14:textId="77777777" w:rsidR="000A3480" w:rsidRPr="00605672" w:rsidRDefault="000C5787" w:rsidP="004B0C26">
            <w:pPr>
              <w:jc w:val="right"/>
              <w:rPr>
                <w:rFonts w:eastAsia="Times New Roman"/>
                <w:sz w:val="18"/>
                <w:szCs w:val="18"/>
              </w:rPr>
            </w:pPr>
            <w:r w:rsidRPr="00605672">
              <w:rPr>
                <w:rFonts w:eastAsia="Times New Roman"/>
                <w:sz w:val="18"/>
                <w:szCs w:val="18"/>
              </w:rPr>
              <w:t>5</w:t>
            </w:r>
          </w:p>
        </w:tc>
        <w:tc>
          <w:tcPr>
            <w:tcW w:w="573" w:type="dxa"/>
            <w:tcBorders>
              <w:top w:val="double" w:sz="4" w:space="0" w:color="auto"/>
              <w:bottom w:val="single" w:sz="4" w:space="0" w:color="auto"/>
            </w:tcBorders>
            <w:shd w:val="clear" w:color="auto" w:fill="auto"/>
            <w:noWrap/>
            <w:hideMark/>
          </w:tcPr>
          <w:p w14:paraId="67C0E5F5" w14:textId="77777777" w:rsidR="000A3480" w:rsidRPr="00605672" w:rsidRDefault="000C5787" w:rsidP="004B0C26">
            <w:pPr>
              <w:jc w:val="right"/>
              <w:rPr>
                <w:rFonts w:eastAsia="Times New Roman"/>
                <w:sz w:val="18"/>
                <w:szCs w:val="18"/>
              </w:rPr>
            </w:pPr>
            <w:r w:rsidRPr="00605672">
              <w:rPr>
                <w:rFonts w:eastAsia="Times New Roman"/>
                <w:sz w:val="18"/>
                <w:szCs w:val="18"/>
              </w:rPr>
              <w:t>6</w:t>
            </w:r>
          </w:p>
        </w:tc>
        <w:tc>
          <w:tcPr>
            <w:tcW w:w="573" w:type="dxa"/>
            <w:tcBorders>
              <w:top w:val="double" w:sz="4" w:space="0" w:color="auto"/>
              <w:bottom w:val="single" w:sz="4" w:space="0" w:color="auto"/>
            </w:tcBorders>
            <w:shd w:val="clear" w:color="auto" w:fill="auto"/>
            <w:noWrap/>
            <w:hideMark/>
          </w:tcPr>
          <w:p w14:paraId="6E42CE81" w14:textId="77777777" w:rsidR="000A3480" w:rsidRPr="00605672" w:rsidRDefault="000C5787" w:rsidP="004B0C26">
            <w:pPr>
              <w:jc w:val="right"/>
              <w:rPr>
                <w:rFonts w:eastAsia="Times New Roman"/>
                <w:sz w:val="18"/>
                <w:szCs w:val="18"/>
              </w:rPr>
            </w:pPr>
            <w:r w:rsidRPr="00605672">
              <w:rPr>
                <w:rFonts w:eastAsia="Times New Roman"/>
                <w:sz w:val="18"/>
                <w:szCs w:val="18"/>
              </w:rPr>
              <w:t>7</w:t>
            </w:r>
          </w:p>
        </w:tc>
        <w:tc>
          <w:tcPr>
            <w:tcW w:w="573" w:type="dxa"/>
            <w:tcBorders>
              <w:top w:val="double" w:sz="4" w:space="0" w:color="auto"/>
              <w:bottom w:val="single" w:sz="4" w:space="0" w:color="auto"/>
            </w:tcBorders>
            <w:shd w:val="clear" w:color="auto" w:fill="auto"/>
            <w:noWrap/>
            <w:hideMark/>
          </w:tcPr>
          <w:p w14:paraId="13F9174A" w14:textId="77777777" w:rsidR="000A3480" w:rsidRPr="00605672" w:rsidRDefault="000C5787" w:rsidP="004B0C26">
            <w:pPr>
              <w:jc w:val="right"/>
              <w:rPr>
                <w:rFonts w:eastAsia="Times New Roman"/>
                <w:sz w:val="18"/>
                <w:szCs w:val="18"/>
              </w:rPr>
            </w:pPr>
            <w:r w:rsidRPr="00605672">
              <w:rPr>
                <w:rFonts w:eastAsia="Times New Roman"/>
                <w:sz w:val="18"/>
                <w:szCs w:val="18"/>
              </w:rPr>
              <w:t>9</w:t>
            </w:r>
          </w:p>
        </w:tc>
        <w:tc>
          <w:tcPr>
            <w:tcW w:w="572" w:type="dxa"/>
            <w:tcBorders>
              <w:top w:val="double" w:sz="4" w:space="0" w:color="auto"/>
              <w:bottom w:val="single" w:sz="4" w:space="0" w:color="auto"/>
            </w:tcBorders>
            <w:shd w:val="clear" w:color="auto" w:fill="auto"/>
            <w:noWrap/>
            <w:hideMark/>
          </w:tcPr>
          <w:p w14:paraId="55FF1F10" w14:textId="77777777" w:rsidR="000A3480" w:rsidRPr="00605672" w:rsidRDefault="000C5787" w:rsidP="004B0C26">
            <w:pPr>
              <w:jc w:val="right"/>
              <w:rPr>
                <w:rFonts w:eastAsia="Times New Roman"/>
                <w:sz w:val="18"/>
                <w:szCs w:val="18"/>
              </w:rPr>
            </w:pPr>
            <w:r w:rsidRPr="00605672">
              <w:rPr>
                <w:rFonts w:eastAsia="Times New Roman"/>
                <w:sz w:val="18"/>
                <w:szCs w:val="18"/>
              </w:rPr>
              <w:t>10</w:t>
            </w:r>
          </w:p>
        </w:tc>
        <w:tc>
          <w:tcPr>
            <w:tcW w:w="573" w:type="dxa"/>
            <w:tcBorders>
              <w:top w:val="double" w:sz="4" w:space="0" w:color="auto"/>
              <w:bottom w:val="single" w:sz="4" w:space="0" w:color="auto"/>
            </w:tcBorders>
            <w:shd w:val="clear" w:color="auto" w:fill="auto"/>
            <w:noWrap/>
            <w:hideMark/>
          </w:tcPr>
          <w:p w14:paraId="375796F5" w14:textId="77777777" w:rsidR="000A3480" w:rsidRPr="00605672" w:rsidRDefault="000C5787" w:rsidP="004B0C26">
            <w:pPr>
              <w:jc w:val="right"/>
              <w:rPr>
                <w:rFonts w:eastAsia="Times New Roman"/>
                <w:sz w:val="18"/>
                <w:szCs w:val="18"/>
              </w:rPr>
            </w:pPr>
            <w:r w:rsidRPr="00605672">
              <w:rPr>
                <w:rFonts w:eastAsia="Times New Roman"/>
                <w:sz w:val="18"/>
                <w:szCs w:val="18"/>
              </w:rPr>
              <w:t>11</w:t>
            </w:r>
          </w:p>
        </w:tc>
        <w:tc>
          <w:tcPr>
            <w:tcW w:w="573" w:type="dxa"/>
            <w:tcBorders>
              <w:top w:val="double" w:sz="4" w:space="0" w:color="auto"/>
              <w:bottom w:val="single" w:sz="4" w:space="0" w:color="auto"/>
            </w:tcBorders>
            <w:shd w:val="clear" w:color="auto" w:fill="auto"/>
            <w:noWrap/>
            <w:hideMark/>
          </w:tcPr>
          <w:p w14:paraId="36470F4B" w14:textId="77777777" w:rsidR="000A3480" w:rsidRPr="00605672" w:rsidRDefault="000C5787" w:rsidP="004B0C26">
            <w:pPr>
              <w:jc w:val="right"/>
              <w:rPr>
                <w:rFonts w:eastAsia="Times New Roman"/>
                <w:sz w:val="18"/>
                <w:szCs w:val="18"/>
              </w:rPr>
            </w:pPr>
            <w:r w:rsidRPr="00605672">
              <w:rPr>
                <w:rFonts w:eastAsia="Times New Roman"/>
                <w:sz w:val="18"/>
                <w:szCs w:val="18"/>
              </w:rPr>
              <w:t>12</w:t>
            </w:r>
          </w:p>
        </w:tc>
        <w:tc>
          <w:tcPr>
            <w:tcW w:w="573" w:type="dxa"/>
            <w:tcBorders>
              <w:top w:val="double" w:sz="4" w:space="0" w:color="auto"/>
              <w:bottom w:val="single" w:sz="4" w:space="0" w:color="auto"/>
            </w:tcBorders>
            <w:shd w:val="clear" w:color="auto" w:fill="auto"/>
            <w:noWrap/>
            <w:hideMark/>
          </w:tcPr>
          <w:p w14:paraId="5F22855D" w14:textId="77777777" w:rsidR="000A3480" w:rsidRPr="00605672" w:rsidRDefault="000C5787" w:rsidP="004B0C26">
            <w:pPr>
              <w:jc w:val="right"/>
              <w:rPr>
                <w:rFonts w:eastAsia="Times New Roman"/>
                <w:sz w:val="18"/>
                <w:szCs w:val="18"/>
              </w:rPr>
            </w:pPr>
            <w:r w:rsidRPr="00605672">
              <w:rPr>
                <w:rFonts w:eastAsia="Times New Roman"/>
                <w:sz w:val="18"/>
                <w:szCs w:val="18"/>
              </w:rPr>
              <w:t>13</w:t>
            </w:r>
          </w:p>
        </w:tc>
        <w:tc>
          <w:tcPr>
            <w:tcW w:w="572" w:type="dxa"/>
            <w:tcBorders>
              <w:top w:val="double" w:sz="4" w:space="0" w:color="auto"/>
              <w:bottom w:val="single" w:sz="4" w:space="0" w:color="auto"/>
            </w:tcBorders>
            <w:shd w:val="clear" w:color="auto" w:fill="auto"/>
            <w:noWrap/>
            <w:hideMark/>
          </w:tcPr>
          <w:p w14:paraId="4A6327D0" w14:textId="77777777" w:rsidR="000A3480" w:rsidRPr="00605672" w:rsidRDefault="000C5787" w:rsidP="004B0C26">
            <w:pPr>
              <w:jc w:val="right"/>
              <w:rPr>
                <w:rFonts w:eastAsia="Times New Roman"/>
                <w:sz w:val="18"/>
                <w:szCs w:val="18"/>
              </w:rPr>
            </w:pPr>
            <w:r w:rsidRPr="00605672">
              <w:rPr>
                <w:rFonts w:eastAsia="Times New Roman"/>
                <w:sz w:val="18"/>
                <w:szCs w:val="18"/>
              </w:rPr>
              <w:t>14</w:t>
            </w:r>
          </w:p>
        </w:tc>
        <w:tc>
          <w:tcPr>
            <w:tcW w:w="573" w:type="dxa"/>
            <w:tcBorders>
              <w:top w:val="double" w:sz="4" w:space="0" w:color="auto"/>
              <w:bottom w:val="single" w:sz="4" w:space="0" w:color="auto"/>
            </w:tcBorders>
            <w:shd w:val="clear" w:color="auto" w:fill="auto"/>
            <w:noWrap/>
            <w:hideMark/>
          </w:tcPr>
          <w:p w14:paraId="58FB2709" w14:textId="77777777" w:rsidR="000A3480" w:rsidRPr="00605672" w:rsidRDefault="000C5787" w:rsidP="004B0C26">
            <w:pPr>
              <w:jc w:val="right"/>
              <w:rPr>
                <w:rFonts w:eastAsia="Times New Roman"/>
                <w:sz w:val="18"/>
                <w:szCs w:val="18"/>
              </w:rPr>
            </w:pPr>
            <w:r w:rsidRPr="00605672">
              <w:rPr>
                <w:rFonts w:eastAsia="Times New Roman"/>
                <w:sz w:val="18"/>
                <w:szCs w:val="18"/>
              </w:rPr>
              <w:t>15</w:t>
            </w:r>
          </w:p>
        </w:tc>
        <w:tc>
          <w:tcPr>
            <w:tcW w:w="573" w:type="dxa"/>
            <w:tcBorders>
              <w:top w:val="double" w:sz="4" w:space="0" w:color="auto"/>
              <w:bottom w:val="single" w:sz="4" w:space="0" w:color="auto"/>
            </w:tcBorders>
            <w:shd w:val="clear" w:color="auto" w:fill="auto"/>
            <w:noWrap/>
            <w:hideMark/>
          </w:tcPr>
          <w:p w14:paraId="36156142" w14:textId="77777777" w:rsidR="000A3480" w:rsidRPr="00605672" w:rsidRDefault="000C5787" w:rsidP="004B0C26">
            <w:pPr>
              <w:jc w:val="right"/>
              <w:rPr>
                <w:rFonts w:eastAsia="Times New Roman"/>
                <w:sz w:val="18"/>
                <w:szCs w:val="18"/>
              </w:rPr>
            </w:pPr>
            <w:r w:rsidRPr="00605672">
              <w:rPr>
                <w:rFonts w:eastAsia="Times New Roman"/>
                <w:sz w:val="18"/>
                <w:szCs w:val="18"/>
              </w:rPr>
              <w:t>16</w:t>
            </w:r>
          </w:p>
        </w:tc>
        <w:tc>
          <w:tcPr>
            <w:tcW w:w="573" w:type="dxa"/>
            <w:tcBorders>
              <w:top w:val="double" w:sz="4" w:space="0" w:color="auto"/>
              <w:bottom w:val="single" w:sz="4" w:space="0" w:color="auto"/>
            </w:tcBorders>
            <w:shd w:val="clear" w:color="auto" w:fill="auto"/>
            <w:noWrap/>
            <w:hideMark/>
          </w:tcPr>
          <w:p w14:paraId="6D40E469" w14:textId="77777777" w:rsidR="000A3480" w:rsidRPr="00605672" w:rsidRDefault="000C5787" w:rsidP="004B0C26">
            <w:pPr>
              <w:jc w:val="right"/>
              <w:rPr>
                <w:rFonts w:eastAsia="Times New Roman"/>
                <w:sz w:val="18"/>
                <w:szCs w:val="18"/>
              </w:rPr>
            </w:pPr>
            <w:r w:rsidRPr="00605672">
              <w:rPr>
                <w:rFonts w:eastAsia="Times New Roman"/>
                <w:sz w:val="18"/>
                <w:szCs w:val="18"/>
              </w:rPr>
              <w:t>17</w:t>
            </w:r>
          </w:p>
        </w:tc>
        <w:tc>
          <w:tcPr>
            <w:tcW w:w="573" w:type="dxa"/>
            <w:tcBorders>
              <w:top w:val="double" w:sz="4" w:space="0" w:color="auto"/>
              <w:bottom w:val="single" w:sz="4" w:space="0" w:color="auto"/>
            </w:tcBorders>
            <w:shd w:val="clear" w:color="auto" w:fill="auto"/>
            <w:noWrap/>
            <w:hideMark/>
          </w:tcPr>
          <w:p w14:paraId="6D877C43" w14:textId="77777777" w:rsidR="000A3480" w:rsidRPr="00605672" w:rsidRDefault="000C5787" w:rsidP="004B0C26">
            <w:pPr>
              <w:jc w:val="right"/>
              <w:rPr>
                <w:rFonts w:eastAsia="Times New Roman"/>
                <w:sz w:val="18"/>
                <w:szCs w:val="18"/>
              </w:rPr>
            </w:pPr>
            <w:r w:rsidRPr="00605672">
              <w:rPr>
                <w:rFonts w:eastAsia="Times New Roman"/>
                <w:sz w:val="18"/>
                <w:szCs w:val="18"/>
              </w:rPr>
              <w:t>18</w:t>
            </w:r>
          </w:p>
        </w:tc>
      </w:tr>
      <w:tr w:rsidR="0062648F" w:rsidRPr="00605672" w14:paraId="4E0E5127" w14:textId="77777777" w:rsidTr="0062648F">
        <w:trPr>
          <w:trHeight w:val="227"/>
          <w:jc w:val="center"/>
        </w:trPr>
        <w:tc>
          <w:tcPr>
            <w:tcW w:w="4518" w:type="dxa"/>
            <w:shd w:val="clear" w:color="auto" w:fill="auto"/>
            <w:noWrap/>
            <w:vAlign w:val="bottom"/>
          </w:tcPr>
          <w:p w14:paraId="68899D00" w14:textId="5DA5EBFB" w:rsidR="00921AE8" w:rsidRPr="00605672" w:rsidRDefault="00EE3F6D" w:rsidP="00FC679E">
            <w:pPr>
              <w:rPr>
                <w:rFonts w:eastAsia="Times New Roman"/>
                <w:color w:val="000000"/>
                <w:sz w:val="18"/>
                <w:szCs w:val="18"/>
                <w:lang w:eastAsia="en-GB"/>
              </w:rPr>
            </w:pPr>
            <w:r w:rsidRPr="00605672">
              <w:rPr>
                <w:sz w:val="18"/>
                <w:szCs w:val="18"/>
              </w:rPr>
              <w:t xml:space="preserve">Ex </w:t>
            </w:r>
            <w:r w:rsidR="00FC679E">
              <w:rPr>
                <w:sz w:val="18"/>
                <w:szCs w:val="18"/>
              </w:rPr>
              <w:t>p</w:t>
            </w:r>
            <w:r w:rsidRPr="00605672">
              <w:rPr>
                <w:sz w:val="18"/>
                <w:szCs w:val="18"/>
              </w:rPr>
              <w:t xml:space="preserve">ost </w:t>
            </w:r>
            <w:r w:rsidR="00FC679E">
              <w:rPr>
                <w:sz w:val="18"/>
                <w:szCs w:val="18"/>
              </w:rPr>
              <w:t>t</w:t>
            </w:r>
            <w:r w:rsidRPr="00605672">
              <w:rPr>
                <w:sz w:val="18"/>
                <w:szCs w:val="18"/>
              </w:rPr>
              <w:t xml:space="preserve">ransaction </w:t>
            </w:r>
            <w:r w:rsidR="00FC679E">
              <w:rPr>
                <w:sz w:val="18"/>
                <w:szCs w:val="18"/>
              </w:rPr>
              <w:t>c</w:t>
            </w:r>
            <w:r w:rsidRPr="00605672">
              <w:rPr>
                <w:sz w:val="18"/>
                <w:szCs w:val="18"/>
              </w:rPr>
              <w:t xml:space="preserve">osts, </w:t>
            </w:r>
            <w:r w:rsidR="00756B07" w:rsidRPr="00605672">
              <w:rPr>
                <w:rFonts w:eastAsia="Times New Roman"/>
                <w:color w:val="000000"/>
                <w:sz w:val="18"/>
                <w:szCs w:val="18"/>
              </w:rPr>
              <w:t>STCT2</w:t>
            </w:r>
            <w:r w:rsidR="00921AE8" w:rsidRPr="00605672">
              <w:rPr>
                <w:rFonts w:eastAsia="Times New Roman"/>
                <w:color w:val="000000"/>
                <w:sz w:val="18"/>
                <w:szCs w:val="18"/>
              </w:rPr>
              <w:t xml:space="preserve"> </w:t>
            </w:r>
          </w:p>
        </w:tc>
        <w:tc>
          <w:tcPr>
            <w:tcW w:w="572" w:type="dxa"/>
            <w:shd w:val="clear" w:color="auto" w:fill="auto"/>
            <w:noWrap/>
          </w:tcPr>
          <w:p w14:paraId="0258E8C4" w14:textId="77777777" w:rsidR="00921AE8" w:rsidRPr="00605672" w:rsidRDefault="00921AE8" w:rsidP="004B0C26">
            <w:pPr>
              <w:jc w:val="right"/>
              <w:rPr>
                <w:rFonts w:eastAsia="Times New Roman"/>
                <w:b/>
                <w:color w:val="000000"/>
                <w:sz w:val="18"/>
                <w:szCs w:val="18"/>
              </w:rPr>
            </w:pPr>
            <w:r w:rsidRPr="00605672">
              <w:rPr>
                <w:b/>
                <w:sz w:val="18"/>
                <w:szCs w:val="18"/>
              </w:rPr>
              <w:t>.85</w:t>
            </w:r>
          </w:p>
        </w:tc>
        <w:tc>
          <w:tcPr>
            <w:tcW w:w="573" w:type="dxa"/>
            <w:shd w:val="clear" w:color="auto" w:fill="auto"/>
            <w:noWrap/>
          </w:tcPr>
          <w:p w14:paraId="27E65091" w14:textId="77777777" w:rsidR="00921AE8" w:rsidRPr="00605672" w:rsidRDefault="00921AE8" w:rsidP="004B0C26">
            <w:pPr>
              <w:jc w:val="right"/>
              <w:rPr>
                <w:rFonts w:eastAsia="Times New Roman"/>
                <w:color w:val="000000"/>
                <w:sz w:val="18"/>
                <w:szCs w:val="18"/>
              </w:rPr>
            </w:pPr>
          </w:p>
        </w:tc>
        <w:tc>
          <w:tcPr>
            <w:tcW w:w="573" w:type="dxa"/>
            <w:shd w:val="clear" w:color="auto" w:fill="auto"/>
            <w:noWrap/>
          </w:tcPr>
          <w:p w14:paraId="49AD8858" w14:textId="77777777" w:rsidR="00921AE8" w:rsidRPr="00605672" w:rsidRDefault="00921AE8" w:rsidP="004B0C26">
            <w:pPr>
              <w:rPr>
                <w:rFonts w:eastAsia="Times New Roman"/>
                <w:sz w:val="18"/>
                <w:szCs w:val="18"/>
              </w:rPr>
            </w:pPr>
          </w:p>
        </w:tc>
        <w:tc>
          <w:tcPr>
            <w:tcW w:w="573" w:type="dxa"/>
            <w:shd w:val="clear" w:color="auto" w:fill="auto"/>
            <w:noWrap/>
          </w:tcPr>
          <w:p w14:paraId="21547542" w14:textId="77777777" w:rsidR="00921AE8" w:rsidRPr="00605672" w:rsidRDefault="00921AE8" w:rsidP="004B0C26">
            <w:pPr>
              <w:rPr>
                <w:rFonts w:eastAsia="Times New Roman"/>
                <w:sz w:val="18"/>
                <w:szCs w:val="18"/>
              </w:rPr>
            </w:pPr>
          </w:p>
        </w:tc>
        <w:tc>
          <w:tcPr>
            <w:tcW w:w="572" w:type="dxa"/>
            <w:shd w:val="clear" w:color="auto" w:fill="auto"/>
            <w:noWrap/>
          </w:tcPr>
          <w:p w14:paraId="40231DEC" w14:textId="77777777" w:rsidR="00921AE8" w:rsidRPr="00605672" w:rsidRDefault="00921AE8" w:rsidP="004B0C26">
            <w:pPr>
              <w:rPr>
                <w:rFonts w:eastAsia="Times New Roman"/>
                <w:sz w:val="18"/>
                <w:szCs w:val="18"/>
              </w:rPr>
            </w:pPr>
          </w:p>
        </w:tc>
        <w:tc>
          <w:tcPr>
            <w:tcW w:w="573" w:type="dxa"/>
            <w:shd w:val="clear" w:color="auto" w:fill="auto"/>
            <w:noWrap/>
          </w:tcPr>
          <w:p w14:paraId="1E3FC260" w14:textId="77777777" w:rsidR="00921AE8" w:rsidRPr="00605672" w:rsidRDefault="00921AE8" w:rsidP="004B0C26">
            <w:pPr>
              <w:rPr>
                <w:rFonts w:eastAsia="Times New Roman"/>
                <w:sz w:val="18"/>
                <w:szCs w:val="18"/>
              </w:rPr>
            </w:pPr>
          </w:p>
        </w:tc>
        <w:tc>
          <w:tcPr>
            <w:tcW w:w="573" w:type="dxa"/>
            <w:shd w:val="clear" w:color="auto" w:fill="auto"/>
            <w:noWrap/>
          </w:tcPr>
          <w:p w14:paraId="0F1095F9" w14:textId="77777777" w:rsidR="00921AE8" w:rsidRPr="00605672" w:rsidRDefault="00921AE8" w:rsidP="004B0C26">
            <w:pPr>
              <w:rPr>
                <w:rFonts w:eastAsia="Times New Roman"/>
                <w:sz w:val="18"/>
                <w:szCs w:val="18"/>
              </w:rPr>
            </w:pPr>
          </w:p>
        </w:tc>
        <w:tc>
          <w:tcPr>
            <w:tcW w:w="573" w:type="dxa"/>
            <w:shd w:val="clear" w:color="auto" w:fill="auto"/>
            <w:noWrap/>
          </w:tcPr>
          <w:p w14:paraId="0A5634AC" w14:textId="77777777" w:rsidR="00921AE8" w:rsidRPr="00605672" w:rsidRDefault="00921AE8" w:rsidP="004B0C26">
            <w:pPr>
              <w:rPr>
                <w:rFonts w:eastAsia="Times New Roman"/>
                <w:sz w:val="18"/>
                <w:szCs w:val="18"/>
              </w:rPr>
            </w:pPr>
          </w:p>
        </w:tc>
        <w:tc>
          <w:tcPr>
            <w:tcW w:w="572" w:type="dxa"/>
            <w:shd w:val="clear" w:color="auto" w:fill="auto"/>
            <w:noWrap/>
          </w:tcPr>
          <w:p w14:paraId="282F5B57" w14:textId="77777777" w:rsidR="00921AE8" w:rsidRPr="00605672" w:rsidRDefault="00921AE8" w:rsidP="004B0C26">
            <w:pPr>
              <w:rPr>
                <w:rFonts w:eastAsia="Times New Roman"/>
                <w:sz w:val="18"/>
                <w:szCs w:val="18"/>
              </w:rPr>
            </w:pPr>
          </w:p>
        </w:tc>
        <w:tc>
          <w:tcPr>
            <w:tcW w:w="573" w:type="dxa"/>
            <w:shd w:val="clear" w:color="auto" w:fill="auto"/>
            <w:noWrap/>
          </w:tcPr>
          <w:p w14:paraId="3BCFDC91" w14:textId="77777777" w:rsidR="00921AE8" w:rsidRPr="00605672" w:rsidRDefault="00921AE8" w:rsidP="004B0C26">
            <w:pPr>
              <w:rPr>
                <w:rFonts w:eastAsia="Times New Roman"/>
                <w:sz w:val="18"/>
                <w:szCs w:val="18"/>
              </w:rPr>
            </w:pPr>
          </w:p>
        </w:tc>
        <w:tc>
          <w:tcPr>
            <w:tcW w:w="573" w:type="dxa"/>
            <w:shd w:val="clear" w:color="auto" w:fill="auto"/>
            <w:noWrap/>
          </w:tcPr>
          <w:p w14:paraId="304D76DA" w14:textId="77777777" w:rsidR="00921AE8" w:rsidRPr="00605672" w:rsidRDefault="00921AE8" w:rsidP="004B0C26">
            <w:pPr>
              <w:rPr>
                <w:rFonts w:eastAsia="Times New Roman"/>
                <w:sz w:val="18"/>
                <w:szCs w:val="18"/>
              </w:rPr>
            </w:pPr>
          </w:p>
        </w:tc>
        <w:tc>
          <w:tcPr>
            <w:tcW w:w="573" w:type="dxa"/>
            <w:shd w:val="clear" w:color="auto" w:fill="auto"/>
            <w:noWrap/>
          </w:tcPr>
          <w:p w14:paraId="26D54A4F" w14:textId="77777777" w:rsidR="00921AE8" w:rsidRPr="00605672" w:rsidRDefault="00921AE8" w:rsidP="004B0C26">
            <w:pPr>
              <w:rPr>
                <w:rFonts w:eastAsia="Times New Roman"/>
                <w:sz w:val="18"/>
                <w:szCs w:val="18"/>
              </w:rPr>
            </w:pPr>
          </w:p>
        </w:tc>
        <w:tc>
          <w:tcPr>
            <w:tcW w:w="572" w:type="dxa"/>
            <w:shd w:val="clear" w:color="auto" w:fill="auto"/>
            <w:noWrap/>
          </w:tcPr>
          <w:p w14:paraId="5F908C9E" w14:textId="77777777" w:rsidR="00921AE8" w:rsidRPr="00605672" w:rsidRDefault="00921AE8" w:rsidP="004B0C26">
            <w:pPr>
              <w:rPr>
                <w:rFonts w:eastAsia="Times New Roman"/>
                <w:sz w:val="18"/>
                <w:szCs w:val="18"/>
              </w:rPr>
            </w:pPr>
          </w:p>
        </w:tc>
        <w:tc>
          <w:tcPr>
            <w:tcW w:w="573" w:type="dxa"/>
            <w:shd w:val="clear" w:color="auto" w:fill="auto"/>
            <w:noWrap/>
          </w:tcPr>
          <w:p w14:paraId="476F7405" w14:textId="77777777" w:rsidR="00921AE8" w:rsidRPr="00605672" w:rsidRDefault="00921AE8" w:rsidP="004B0C26">
            <w:pPr>
              <w:rPr>
                <w:rFonts w:eastAsia="Times New Roman"/>
                <w:sz w:val="18"/>
                <w:szCs w:val="18"/>
              </w:rPr>
            </w:pPr>
          </w:p>
        </w:tc>
        <w:tc>
          <w:tcPr>
            <w:tcW w:w="573" w:type="dxa"/>
            <w:shd w:val="clear" w:color="auto" w:fill="auto"/>
            <w:noWrap/>
          </w:tcPr>
          <w:p w14:paraId="19C2CFDE" w14:textId="77777777" w:rsidR="00921AE8" w:rsidRPr="00605672" w:rsidRDefault="00921AE8" w:rsidP="004B0C26">
            <w:pPr>
              <w:rPr>
                <w:rFonts w:eastAsia="Times New Roman"/>
                <w:sz w:val="18"/>
                <w:szCs w:val="18"/>
              </w:rPr>
            </w:pPr>
          </w:p>
        </w:tc>
        <w:tc>
          <w:tcPr>
            <w:tcW w:w="573" w:type="dxa"/>
            <w:shd w:val="clear" w:color="auto" w:fill="auto"/>
            <w:noWrap/>
          </w:tcPr>
          <w:p w14:paraId="61AD2846" w14:textId="77777777" w:rsidR="00921AE8" w:rsidRPr="00605672" w:rsidRDefault="00921AE8" w:rsidP="004B0C26">
            <w:pPr>
              <w:rPr>
                <w:rFonts w:eastAsia="Times New Roman"/>
                <w:sz w:val="18"/>
                <w:szCs w:val="18"/>
              </w:rPr>
            </w:pPr>
          </w:p>
        </w:tc>
        <w:tc>
          <w:tcPr>
            <w:tcW w:w="573" w:type="dxa"/>
            <w:shd w:val="clear" w:color="auto" w:fill="auto"/>
            <w:noWrap/>
          </w:tcPr>
          <w:p w14:paraId="4AEF0136" w14:textId="77777777" w:rsidR="00921AE8" w:rsidRPr="00605672" w:rsidRDefault="00921AE8" w:rsidP="004B0C26">
            <w:pPr>
              <w:rPr>
                <w:rFonts w:eastAsia="Times New Roman"/>
                <w:sz w:val="18"/>
                <w:szCs w:val="18"/>
              </w:rPr>
            </w:pPr>
          </w:p>
        </w:tc>
      </w:tr>
      <w:tr w:rsidR="0062648F" w:rsidRPr="00605672" w14:paraId="412E40CE" w14:textId="77777777" w:rsidTr="0062648F">
        <w:trPr>
          <w:trHeight w:val="227"/>
          <w:jc w:val="center"/>
        </w:trPr>
        <w:tc>
          <w:tcPr>
            <w:tcW w:w="4518" w:type="dxa"/>
            <w:shd w:val="clear" w:color="auto" w:fill="auto"/>
            <w:noWrap/>
            <w:vAlign w:val="bottom"/>
          </w:tcPr>
          <w:p w14:paraId="164C2B86" w14:textId="55FF4845" w:rsidR="00921AE8" w:rsidRPr="00605672" w:rsidRDefault="0062648F" w:rsidP="00FC679E">
            <w:pPr>
              <w:rPr>
                <w:rFonts w:eastAsia="Times New Roman"/>
                <w:color w:val="000000"/>
                <w:sz w:val="18"/>
                <w:szCs w:val="18"/>
              </w:rPr>
            </w:pPr>
            <w:r w:rsidRPr="00605672">
              <w:rPr>
                <w:sz w:val="18"/>
                <w:szCs w:val="18"/>
              </w:rPr>
              <w:t xml:space="preserve">Supplier </w:t>
            </w:r>
            <w:r w:rsidR="00FC679E">
              <w:rPr>
                <w:sz w:val="18"/>
                <w:szCs w:val="18"/>
              </w:rPr>
              <w:t>i</w:t>
            </w:r>
            <w:r w:rsidRPr="00605672">
              <w:rPr>
                <w:sz w:val="18"/>
                <w:szCs w:val="18"/>
              </w:rPr>
              <w:t xml:space="preserve">ncremental </w:t>
            </w:r>
            <w:r w:rsidR="00FC679E">
              <w:rPr>
                <w:sz w:val="18"/>
                <w:szCs w:val="18"/>
              </w:rPr>
              <w:t>i</w:t>
            </w:r>
            <w:r w:rsidRPr="00605672">
              <w:rPr>
                <w:sz w:val="18"/>
                <w:szCs w:val="18"/>
              </w:rPr>
              <w:t xml:space="preserve">nvestments, </w:t>
            </w:r>
            <w:r w:rsidR="00921AE8" w:rsidRPr="00605672">
              <w:rPr>
                <w:rFonts w:eastAsia="Times New Roman"/>
                <w:color w:val="000000"/>
                <w:sz w:val="18"/>
                <w:szCs w:val="18"/>
              </w:rPr>
              <w:t>SINVT2</w:t>
            </w:r>
          </w:p>
        </w:tc>
        <w:tc>
          <w:tcPr>
            <w:tcW w:w="572" w:type="dxa"/>
            <w:shd w:val="clear" w:color="auto" w:fill="auto"/>
            <w:noWrap/>
          </w:tcPr>
          <w:p w14:paraId="032E6BCE" w14:textId="77777777" w:rsidR="00921AE8" w:rsidRPr="00605672" w:rsidRDefault="00921AE8" w:rsidP="004B0C26">
            <w:pPr>
              <w:jc w:val="right"/>
              <w:rPr>
                <w:rFonts w:eastAsia="Times New Roman"/>
                <w:color w:val="000000"/>
                <w:sz w:val="18"/>
                <w:szCs w:val="18"/>
              </w:rPr>
            </w:pPr>
            <w:r w:rsidRPr="00605672">
              <w:rPr>
                <w:sz w:val="18"/>
                <w:szCs w:val="18"/>
              </w:rPr>
              <w:t>.27</w:t>
            </w:r>
          </w:p>
        </w:tc>
        <w:tc>
          <w:tcPr>
            <w:tcW w:w="573" w:type="dxa"/>
            <w:shd w:val="clear" w:color="auto" w:fill="auto"/>
            <w:noWrap/>
          </w:tcPr>
          <w:p w14:paraId="26EA7330" w14:textId="77777777" w:rsidR="00921AE8" w:rsidRPr="00605672" w:rsidRDefault="00921AE8" w:rsidP="004B0C26">
            <w:pPr>
              <w:jc w:val="right"/>
              <w:rPr>
                <w:rFonts w:eastAsia="Times New Roman"/>
                <w:b/>
                <w:color w:val="000000"/>
                <w:sz w:val="18"/>
                <w:szCs w:val="18"/>
              </w:rPr>
            </w:pPr>
            <w:r w:rsidRPr="00605672">
              <w:rPr>
                <w:b/>
                <w:sz w:val="18"/>
                <w:szCs w:val="18"/>
              </w:rPr>
              <w:t>.72</w:t>
            </w:r>
          </w:p>
        </w:tc>
        <w:tc>
          <w:tcPr>
            <w:tcW w:w="573" w:type="dxa"/>
            <w:shd w:val="clear" w:color="auto" w:fill="auto"/>
            <w:noWrap/>
          </w:tcPr>
          <w:p w14:paraId="0B51B882" w14:textId="77777777" w:rsidR="00921AE8" w:rsidRPr="00605672" w:rsidRDefault="00921AE8" w:rsidP="004B0C26">
            <w:pPr>
              <w:jc w:val="right"/>
              <w:rPr>
                <w:rFonts w:eastAsia="Times New Roman"/>
                <w:color w:val="000000"/>
                <w:sz w:val="18"/>
                <w:szCs w:val="18"/>
              </w:rPr>
            </w:pPr>
          </w:p>
        </w:tc>
        <w:tc>
          <w:tcPr>
            <w:tcW w:w="573" w:type="dxa"/>
            <w:shd w:val="clear" w:color="auto" w:fill="auto"/>
            <w:noWrap/>
          </w:tcPr>
          <w:p w14:paraId="592002F4" w14:textId="77777777" w:rsidR="00921AE8" w:rsidRPr="00605672" w:rsidRDefault="00921AE8" w:rsidP="004B0C26">
            <w:pPr>
              <w:rPr>
                <w:rFonts w:eastAsia="Times New Roman"/>
                <w:sz w:val="18"/>
                <w:szCs w:val="18"/>
              </w:rPr>
            </w:pPr>
          </w:p>
        </w:tc>
        <w:tc>
          <w:tcPr>
            <w:tcW w:w="572" w:type="dxa"/>
            <w:shd w:val="clear" w:color="auto" w:fill="auto"/>
            <w:noWrap/>
          </w:tcPr>
          <w:p w14:paraId="3C1E3F88" w14:textId="77777777" w:rsidR="00921AE8" w:rsidRPr="00605672" w:rsidRDefault="00921AE8" w:rsidP="004B0C26">
            <w:pPr>
              <w:rPr>
                <w:rFonts w:eastAsia="Times New Roman"/>
                <w:sz w:val="18"/>
                <w:szCs w:val="18"/>
              </w:rPr>
            </w:pPr>
          </w:p>
        </w:tc>
        <w:tc>
          <w:tcPr>
            <w:tcW w:w="573" w:type="dxa"/>
            <w:shd w:val="clear" w:color="auto" w:fill="auto"/>
            <w:noWrap/>
          </w:tcPr>
          <w:p w14:paraId="6F7805AB" w14:textId="77777777" w:rsidR="00921AE8" w:rsidRPr="00605672" w:rsidRDefault="00921AE8" w:rsidP="004B0C26">
            <w:pPr>
              <w:rPr>
                <w:rFonts w:eastAsia="Times New Roman"/>
                <w:sz w:val="18"/>
                <w:szCs w:val="18"/>
              </w:rPr>
            </w:pPr>
          </w:p>
        </w:tc>
        <w:tc>
          <w:tcPr>
            <w:tcW w:w="573" w:type="dxa"/>
            <w:shd w:val="clear" w:color="auto" w:fill="auto"/>
            <w:noWrap/>
          </w:tcPr>
          <w:p w14:paraId="6A7E52FA" w14:textId="77777777" w:rsidR="00921AE8" w:rsidRPr="00605672" w:rsidRDefault="00921AE8" w:rsidP="004B0C26">
            <w:pPr>
              <w:rPr>
                <w:rFonts w:eastAsia="Times New Roman"/>
                <w:sz w:val="18"/>
                <w:szCs w:val="18"/>
              </w:rPr>
            </w:pPr>
          </w:p>
        </w:tc>
        <w:tc>
          <w:tcPr>
            <w:tcW w:w="573" w:type="dxa"/>
            <w:shd w:val="clear" w:color="auto" w:fill="auto"/>
            <w:noWrap/>
          </w:tcPr>
          <w:p w14:paraId="0B42235B" w14:textId="77777777" w:rsidR="00921AE8" w:rsidRPr="00605672" w:rsidRDefault="00921AE8" w:rsidP="004B0C26">
            <w:pPr>
              <w:rPr>
                <w:rFonts w:eastAsia="Times New Roman"/>
                <w:sz w:val="18"/>
                <w:szCs w:val="18"/>
              </w:rPr>
            </w:pPr>
          </w:p>
        </w:tc>
        <w:tc>
          <w:tcPr>
            <w:tcW w:w="572" w:type="dxa"/>
            <w:shd w:val="clear" w:color="auto" w:fill="auto"/>
            <w:noWrap/>
          </w:tcPr>
          <w:p w14:paraId="03530812" w14:textId="77777777" w:rsidR="00921AE8" w:rsidRPr="00605672" w:rsidRDefault="00921AE8" w:rsidP="004B0C26">
            <w:pPr>
              <w:rPr>
                <w:rFonts w:eastAsia="Times New Roman"/>
                <w:sz w:val="18"/>
                <w:szCs w:val="18"/>
              </w:rPr>
            </w:pPr>
          </w:p>
        </w:tc>
        <w:tc>
          <w:tcPr>
            <w:tcW w:w="573" w:type="dxa"/>
            <w:shd w:val="clear" w:color="auto" w:fill="auto"/>
            <w:noWrap/>
          </w:tcPr>
          <w:p w14:paraId="23693BE2" w14:textId="77777777" w:rsidR="00921AE8" w:rsidRPr="00605672" w:rsidRDefault="00921AE8" w:rsidP="004B0C26">
            <w:pPr>
              <w:rPr>
                <w:rFonts w:eastAsia="Times New Roman"/>
                <w:sz w:val="18"/>
                <w:szCs w:val="18"/>
              </w:rPr>
            </w:pPr>
          </w:p>
        </w:tc>
        <w:tc>
          <w:tcPr>
            <w:tcW w:w="573" w:type="dxa"/>
            <w:shd w:val="clear" w:color="auto" w:fill="auto"/>
            <w:noWrap/>
          </w:tcPr>
          <w:p w14:paraId="172B206D" w14:textId="77777777" w:rsidR="00921AE8" w:rsidRPr="00605672" w:rsidRDefault="00921AE8" w:rsidP="004B0C26">
            <w:pPr>
              <w:rPr>
                <w:rFonts w:eastAsia="Times New Roman"/>
                <w:sz w:val="18"/>
                <w:szCs w:val="18"/>
              </w:rPr>
            </w:pPr>
          </w:p>
        </w:tc>
        <w:tc>
          <w:tcPr>
            <w:tcW w:w="573" w:type="dxa"/>
            <w:shd w:val="clear" w:color="auto" w:fill="auto"/>
            <w:noWrap/>
          </w:tcPr>
          <w:p w14:paraId="6C87BF79" w14:textId="77777777" w:rsidR="00921AE8" w:rsidRPr="00605672" w:rsidRDefault="00921AE8" w:rsidP="004B0C26">
            <w:pPr>
              <w:rPr>
                <w:rFonts w:eastAsia="Times New Roman"/>
                <w:sz w:val="18"/>
                <w:szCs w:val="18"/>
              </w:rPr>
            </w:pPr>
          </w:p>
        </w:tc>
        <w:tc>
          <w:tcPr>
            <w:tcW w:w="572" w:type="dxa"/>
            <w:shd w:val="clear" w:color="auto" w:fill="auto"/>
            <w:noWrap/>
          </w:tcPr>
          <w:p w14:paraId="2EC988E8" w14:textId="77777777" w:rsidR="00921AE8" w:rsidRPr="00605672" w:rsidRDefault="00921AE8" w:rsidP="004B0C26">
            <w:pPr>
              <w:rPr>
                <w:rFonts w:eastAsia="Times New Roman"/>
                <w:sz w:val="18"/>
                <w:szCs w:val="18"/>
              </w:rPr>
            </w:pPr>
          </w:p>
        </w:tc>
        <w:tc>
          <w:tcPr>
            <w:tcW w:w="573" w:type="dxa"/>
            <w:shd w:val="clear" w:color="auto" w:fill="auto"/>
            <w:noWrap/>
          </w:tcPr>
          <w:p w14:paraId="0496012E" w14:textId="77777777" w:rsidR="00921AE8" w:rsidRPr="00605672" w:rsidRDefault="00921AE8" w:rsidP="004B0C26">
            <w:pPr>
              <w:rPr>
                <w:rFonts w:eastAsia="Times New Roman"/>
                <w:sz w:val="18"/>
                <w:szCs w:val="18"/>
              </w:rPr>
            </w:pPr>
          </w:p>
        </w:tc>
        <w:tc>
          <w:tcPr>
            <w:tcW w:w="573" w:type="dxa"/>
            <w:shd w:val="clear" w:color="auto" w:fill="auto"/>
            <w:noWrap/>
          </w:tcPr>
          <w:p w14:paraId="09B7ED79" w14:textId="77777777" w:rsidR="00921AE8" w:rsidRPr="00605672" w:rsidRDefault="00921AE8" w:rsidP="004B0C26">
            <w:pPr>
              <w:rPr>
                <w:rFonts w:eastAsia="Times New Roman"/>
                <w:sz w:val="18"/>
                <w:szCs w:val="18"/>
              </w:rPr>
            </w:pPr>
          </w:p>
        </w:tc>
        <w:tc>
          <w:tcPr>
            <w:tcW w:w="573" w:type="dxa"/>
            <w:shd w:val="clear" w:color="auto" w:fill="auto"/>
            <w:noWrap/>
          </w:tcPr>
          <w:p w14:paraId="701DF16D" w14:textId="77777777" w:rsidR="00921AE8" w:rsidRPr="00605672" w:rsidRDefault="00921AE8" w:rsidP="004B0C26">
            <w:pPr>
              <w:rPr>
                <w:rFonts w:eastAsia="Times New Roman"/>
                <w:sz w:val="18"/>
                <w:szCs w:val="18"/>
              </w:rPr>
            </w:pPr>
          </w:p>
        </w:tc>
        <w:tc>
          <w:tcPr>
            <w:tcW w:w="573" w:type="dxa"/>
            <w:shd w:val="clear" w:color="auto" w:fill="auto"/>
            <w:noWrap/>
          </w:tcPr>
          <w:p w14:paraId="47C3E4D3" w14:textId="77777777" w:rsidR="00921AE8" w:rsidRPr="00605672" w:rsidRDefault="00921AE8" w:rsidP="004B0C26">
            <w:pPr>
              <w:rPr>
                <w:rFonts w:eastAsia="Times New Roman"/>
                <w:sz w:val="18"/>
                <w:szCs w:val="18"/>
              </w:rPr>
            </w:pPr>
          </w:p>
        </w:tc>
      </w:tr>
      <w:tr w:rsidR="0062648F" w:rsidRPr="00605672" w14:paraId="59BF718E" w14:textId="77777777" w:rsidTr="0062648F">
        <w:trPr>
          <w:trHeight w:val="227"/>
          <w:jc w:val="center"/>
        </w:trPr>
        <w:tc>
          <w:tcPr>
            <w:tcW w:w="4518" w:type="dxa"/>
            <w:shd w:val="clear" w:color="auto" w:fill="auto"/>
            <w:noWrap/>
            <w:vAlign w:val="bottom"/>
          </w:tcPr>
          <w:p w14:paraId="2678E39F" w14:textId="1D66FF03" w:rsidR="00921AE8" w:rsidRPr="00605672" w:rsidRDefault="0062648F" w:rsidP="00FC679E">
            <w:pPr>
              <w:rPr>
                <w:rFonts w:eastAsia="Times New Roman"/>
                <w:color w:val="000000"/>
                <w:sz w:val="18"/>
                <w:szCs w:val="18"/>
              </w:rPr>
            </w:pPr>
            <w:r w:rsidRPr="00605672">
              <w:rPr>
                <w:sz w:val="18"/>
                <w:szCs w:val="18"/>
              </w:rPr>
              <w:t xml:space="preserve">Reseller </w:t>
            </w:r>
            <w:r w:rsidR="00FC679E">
              <w:rPr>
                <w:sz w:val="18"/>
                <w:szCs w:val="18"/>
              </w:rPr>
              <w:t>i</w:t>
            </w:r>
            <w:r w:rsidR="00033918" w:rsidRPr="00605672">
              <w:rPr>
                <w:sz w:val="18"/>
                <w:szCs w:val="18"/>
              </w:rPr>
              <w:t xml:space="preserve">ncremental </w:t>
            </w:r>
            <w:r w:rsidR="00FC679E">
              <w:rPr>
                <w:sz w:val="18"/>
                <w:szCs w:val="18"/>
              </w:rPr>
              <w:t>i</w:t>
            </w:r>
            <w:r w:rsidRPr="00605672">
              <w:rPr>
                <w:sz w:val="18"/>
                <w:szCs w:val="18"/>
              </w:rPr>
              <w:t xml:space="preserve">nvestments, </w:t>
            </w:r>
            <w:r w:rsidR="00921AE8" w:rsidRPr="00605672">
              <w:rPr>
                <w:rFonts w:eastAsia="Times New Roman"/>
                <w:color w:val="000000"/>
                <w:sz w:val="18"/>
                <w:szCs w:val="18"/>
              </w:rPr>
              <w:t>RINVT2</w:t>
            </w:r>
          </w:p>
        </w:tc>
        <w:tc>
          <w:tcPr>
            <w:tcW w:w="572" w:type="dxa"/>
            <w:shd w:val="clear" w:color="auto" w:fill="auto"/>
            <w:noWrap/>
          </w:tcPr>
          <w:p w14:paraId="06C11ADD" w14:textId="77777777" w:rsidR="00921AE8" w:rsidRPr="00605672" w:rsidRDefault="00921AE8" w:rsidP="004B0C26">
            <w:pPr>
              <w:jc w:val="right"/>
              <w:rPr>
                <w:rFonts w:eastAsia="Times New Roman"/>
                <w:color w:val="000000"/>
                <w:sz w:val="18"/>
                <w:szCs w:val="18"/>
              </w:rPr>
            </w:pPr>
            <w:r w:rsidRPr="00605672">
              <w:rPr>
                <w:sz w:val="18"/>
                <w:szCs w:val="18"/>
              </w:rPr>
              <w:t>.25</w:t>
            </w:r>
          </w:p>
        </w:tc>
        <w:tc>
          <w:tcPr>
            <w:tcW w:w="573" w:type="dxa"/>
            <w:shd w:val="clear" w:color="auto" w:fill="auto"/>
            <w:noWrap/>
          </w:tcPr>
          <w:p w14:paraId="39304A6E" w14:textId="77777777" w:rsidR="00921AE8" w:rsidRPr="00605672" w:rsidRDefault="00921AE8" w:rsidP="004B0C26">
            <w:pPr>
              <w:jc w:val="right"/>
              <w:rPr>
                <w:rFonts w:eastAsia="Times New Roman"/>
                <w:color w:val="000000"/>
                <w:sz w:val="18"/>
                <w:szCs w:val="18"/>
              </w:rPr>
            </w:pPr>
            <w:r w:rsidRPr="00605672">
              <w:rPr>
                <w:sz w:val="18"/>
                <w:szCs w:val="18"/>
              </w:rPr>
              <w:t>.49</w:t>
            </w:r>
          </w:p>
        </w:tc>
        <w:tc>
          <w:tcPr>
            <w:tcW w:w="573" w:type="dxa"/>
            <w:shd w:val="clear" w:color="auto" w:fill="auto"/>
            <w:noWrap/>
          </w:tcPr>
          <w:p w14:paraId="0CA43601" w14:textId="77777777" w:rsidR="00921AE8" w:rsidRPr="00605672" w:rsidRDefault="00921AE8" w:rsidP="004B0C26">
            <w:pPr>
              <w:jc w:val="right"/>
              <w:rPr>
                <w:rFonts w:eastAsia="Times New Roman"/>
                <w:b/>
                <w:color w:val="000000"/>
                <w:sz w:val="18"/>
                <w:szCs w:val="18"/>
              </w:rPr>
            </w:pPr>
            <w:r w:rsidRPr="00605672">
              <w:rPr>
                <w:b/>
                <w:sz w:val="18"/>
                <w:szCs w:val="18"/>
              </w:rPr>
              <w:t>.77</w:t>
            </w:r>
          </w:p>
        </w:tc>
        <w:tc>
          <w:tcPr>
            <w:tcW w:w="573" w:type="dxa"/>
            <w:shd w:val="clear" w:color="auto" w:fill="auto"/>
            <w:noWrap/>
          </w:tcPr>
          <w:p w14:paraId="12B88840" w14:textId="77777777" w:rsidR="00921AE8" w:rsidRPr="00605672" w:rsidRDefault="00921AE8" w:rsidP="004B0C26">
            <w:pPr>
              <w:jc w:val="right"/>
              <w:rPr>
                <w:rFonts w:eastAsia="Times New Roman"/>
                <w:color w:val="000000"/>
                <w:sz w:val="18"/>
                <w:szCs w:val="18"/>
              </w:rPr>
            </w:pPr>
          </w:p>
        </w:tc>
        <w:tc>
          <w:tcPr>
            <w:tcW w:w="572" w:type="dxa"/>
            <w:shd w:val="clear" w:color="auto" w:fill="auto"/>
            <w:noWrap/>
          </w:tcPr>
          <w:p w14:paraId="4C4FC874" w14:textId="77777777" w:rsidR="00921AE8" w:rsidRPr="00605672" w:rsidRDefault="00921AE8" w:rsidP="004B0C26">
            <w:pPr>
              <w:rPr>
                <w:rFonts w:eastAsia="Times New Roman"/>
                <w:sz w:val="18"/>
                <w:szCs w:val="18"/>
              </w:rPr>
            </w:pPr>
          </w:p>
        </w:tc>
        <w:tc>
          <w:tcPr>
            <w:tcW w:w="573" w:type="dxa"/>
            <w:shd w:val="clear" w:color="auto" w:fill="auto"/>
            <w:noWrap/>
          </w:tcPr>
          <w:p w14:paraId="2BC9F5BD" w14:textId="77777777" w:rsidR="00921AE8" w:rsidRPr="00605672" w:rsidRDefault="00921AE8" w:rsidP="004B0C26">
            <w:pPr>
              <w:rPr>
                <w:rFonts w:eastAsia="Times New Roman"/>
                <w:sz w:val="18"/>
                <w:szCs w:val="18"/>
              </w:rPr>
            </w:pPr>
          </w:p>
        </w:tc>
        <w:tc>
          <w:tcPr>
            <w:tcW w:w="573" w:type="dxa"/>
            <w:shd w:val="clear" w:color="auto" w:fill="auto"/>
            <w:noWrap/>
          </w:tcPr>
          <w:p w14:paraId="7DE52734" w14:textId="77777777" w:rsidR="00921AE8" w:rsidRPr="00605672" w:rsidRDefault="00921AE8" w:rsidP="004B0C26">
            <w:pPr>
              <w:rPr>
                <w:rFonts w:eastAsia="Times New Roman"/>
                <w:sz w:val="18"/>
                <w:szCs w:val="18"/>
              </w:rPr>
            </w:pPr>
          </w:p>
        </w:tc>
        <w:tc>
          <w:tcPr>
            <w:tcW w:w="573" w:type="dxa"/>
            <w:shd w:val="clear" w:color="auto" w:fill="auto"/>
            <w:noWrap/>
          </w:tcPr>
          <w:p w14:paraId="5B1DE409" w14:textId="77777777" w:rsidR="00921AE8" w:rsidRPr="00605672" w:rsidRDefault="00921AE8" w:rsidP="004B0C26">
            <w:pPr>
              <w:rPr>
                <w:rFonts w:eastAsia="Times New Roman"/>
                <w:sz w:val="18"/>
                <w:szCs w:val="18"/>
              </w:rPr>
            </w:pPr>
          </w:p>
        </w:tc>
        <w:tc>
          <w:tcPr>
            <w:tcW w:w="572" w:type="dxa"/>
            <w:shd w:val="clear" w:color="auto" w:fill="auto"/>
            <w:noWrap/>
          </w:tcPr>
          <w:p w14:paraId="24C207B6" w14:textId="77777777" w:rsidR="00921AE8" w:rsidRPr="00605672" w:rsidRDefault="00921AE8" w:rsidP="004B0C26">
            <w:pPr>
              <w:rPr>
                <w:rFonts w:eastAsia="Times New Roman"/>
                <w:sz w:val="18"/>
                <w:szCs w:val="18"/>
              </w:rPr>
            </w:pPr>
          </w:p>
        </w:tc>
        <w:tc>
          <w:tcPr>
            <w:tcW w:w="573" w:type="dxa"/>
            <w:shd w:val="clear" w:color="auto" w:fill="auto"/>
            <w:noWrap/>
          </w:tcPr>
          <w:p w14:paraId="42AE8DCF" w14:textId="77777777" w:rsidR="00921AE8" w:rsidRPr="00605672" w:rsidRDefault="00921AE8" w:rsidP="004B0C26">
            <w:pPr>
              <w:rPr>
                <w:rFonts w:eastAsia="Times New Roman"/>
                <w:sz w:val="18"/>
                <w:szCs w:val="18"/>
              </w:rPr>
            </w:pPr>
          </w:p>
        </w:tc>
        <w:tc>
          <w:tcPr>
            <w:tcW w:w="573" w:type="dxa"/>
            <w:shd w:val="clear" w:color="auto" w:fill="auto"/>
            <w:noWrap/>
          </w:tcPr>
          <w:p w14:paraId="3D831CFC" w14:textId="77777777" w:rsidR="00921AE8" w:rsidRPr="00605672" w:rsidRDefault="00921AE8" w:rsidP="004B0C26">
            <w:pPr>
              <w:rPr>
                <w:rFonts w:eastAsia="Times New Roman"/>
                <w:sz w:val="18"/>
                <w:szCs w:val="18"/>
              </w:rPr>
            </w:pPr>
          </w:p>
        </w:tc>
        <w:tc>
          <w:tcPr>
            <w:tcW w:w="573" w:type="dxa"/>
            <w:shd w:val="clear" w:color="auto" w:fill="auto"/>
            <w:noWrap/>
          </w:tcPr>
          <w:p w14:paraId="69FBC0C4" w14:textId="77777777" w:rsidR="00921AE8" w:rsidRPr="00605672" w:rsidRDefault="00921AE8" w:rsidP="004B0C26">
            <w:pPr>
              <w:rPr>
                <w:rFonts w:eastAsia="Times New Roman"/>
                <w:sz w:val="18"/>
                <w:szCs w:val="18"/>
              </w:rPr>
            </w:pPr>
          </w:p>
        </w:tc>
        <w:tc>
          <w:tcPr>
            <w:tcW w:w="572" w:type="dxa"/>
            <w:shd w:val="clear" w:color="auto" w:fill="auto"/>
            <w:noWrap/>
          </w:tcPr>
          <w:p w14:paraId="7A1F1B82" w14:textId="77777777" w:rsidR="00921AE8" w:rsidRPr="00605672" w:rsidRDefault="00921AE8" w:rsidP="004B0C26">
            <w:pPr>
              <w:rPr>
                <w:rFonts w:eastAsia="Times New Roman"/>
                <w:sz w:val="18"/>
                <w:szCs w:val="18"/>
              </w:rPr>
            </w:pPr>
          </w:p>
        </w:tc>
        <w:tc>
          <w:tcPr>
            <w:tcW w:w="573" w:type="dxa"/>
            <w:shd w:val="clear" w:color="auto" w:fill="auto"/>
            <w:noWrap/>
          </w:tcPr>
          <w:p w14:paraId="166F312E" w14:textId="77777777" w:rsidR="00921AE8" w:rsidRPr="00605672" w:rsidRDefault="00921AE8" w:rsidP="004B0C26">
            <w:pPr>
              <w:rPr>
                <w:rFonts w:eastAsia="Times New Roman"/>
                <w:sz w:val="18"/>
                <w:szCs w:val="18"/>
              </w:rPr>
            </w:pPr>
          </w:p>
        </w:tc>
        <w:tc>
          <w:tcPr>
            <w:tcW w:w="573" w:type="dxa"/>
            <w:shd w:val="clear" w:color="auto" w:fill="auto"/>
            <w:noWrap/>
          </w:tcPr>
          <w:p w14:paraId="42BE7B5E" w14:textId="77777777" w:rsidR="00921AE8" w:rsidRPr="00605672" w:rsidRDefault="00921AE8" w:rsidP="004B0C26">
            <w:pPr>
              <w:rPr>
                <w:rFonts w:eastAsia="Times New Roman"/>
                <w:sz w:val="18"/>
                <w:szCs w:val="18"/>
              </w:rPr>
            </w:pPr>
          </w:p>
        </w:tc>
        <w:tc>
          <w:tcPr>
            <w:tcW w:w="573" w:type="dxa"/>
            <w:shd w:val="clear" w:color="auto" w:fill="auto"/>
            <w:noWrap/>
          </w:tcPr>
          <w:p w14:paraId="208F8DD5" w14:textId="77777777" w:rsidR="00921AE8" w:rsidRPr="00605672" w:rsidRDefault="00921AE8" w:rsidP="004B0C26">
            <w:pPr>
              <w:rPr>
                <w:rFonts w:eastAsia="Times New Roman"/>
                <w:sz w:val="18"/>
                <w:szCs w:val="18"/>
              </w:rPr>
            </w:pPr>
          </w:p>
        </w:tc>
        <w:tc>
          <w:tcPr>
            <w:tcW w:w="573" w:type="dxa"/>
            <w:shd w:val="clear" w:color="auto" w:fill="auto"/>
            <w:noWrap/>
          </w:tcPr>
          <w:p w14:paraId="3E40DF33" w14:textId="77777777" w:rsidR="00921AE8" w:rsidRPr="00605672" w:rsidRDefault="00921AE8" w:rsidP="004B0C26">
            <w:pPr>
              <w:rPr>
                <w:rFonts w:eastAsia="Times New Roman"/>
                <w:sz w:val="18"/>
                <w:szCs w:val="18"/>
              </w:rPr>
            </w:pPr>
          </w:p>
        </w:tc>
      </w:tr>
      <w:tr w:rsidR="0062648F" w:rsidRPr="00605672" w14:paraId="3DF3BAB6" w14:textId="77777777" w:rsidTr="0062648F">
        <w:trPr>
          <w:trHeight w:val="227"/>
          <w:jc w:val="center"/>
        </w:trPr>
        <w:tc>
          <w:tcPr>
            <w:tcW w:w="4518" w:type="dxa"/>
            <w:shd w:val="clear" w:color="auto" w:fill="auto"/>
            <w:noWrap/>
            <w:vAlign w:val="bottom"/>
          </w:tcPr>
          <w:p w14:paraId="2074401C" w14:textId="43A5F1BC" w:rsidR="00921AE8" w:rsidRPr="00605672" w:rsidRDefault="0062648F" w:rsidP="00FC679E">
            <w:pPr>
              <w:rPr>
                <w:rFonts w:eastAsia="Times New Roman"/>
                <w:color w:val="000000"/>
                <w:sz w:val="18"/>
                <w:szCs w:val="18"/>
              </w:rPr>
            </w:pPr>
            <w:r w:rsidRPr="00605672">
              <w:rPr>
                <w:sz w:val="18"/>
                <w:szCs w:val="18"/>
              </w:rPr>
              <w:t xml:space="preserve">Supplier </w:t>
            </w:r>
            <w:r w:rsidR="00FC679E">
              <w:rPr>
                <w:sz w:val="18"/>
                <w:szCs w:val="18"/>
              </w:rPr>
              <w:t>i</w:t>
            </w:r>
            <w:r w:rsidRPr="00605672">
              <w:rPr>
                <w:sz w:val="18"/>
                <w:szCs w:val="18"/>
              </w:rPr>
              <w:t xml:space="preserve">nvestments at </w:t>
            </w:r>
            <w:r w:rsidR="00FC679E">
              <w:rPr>
                <w:sz w:val="18"/>
                <w:szCs w:val="18"/>
              </w:rPr>
              <w:t>t</w:t>
            </w:r>
            <w:r w:rsidRPr="00605672">
              <w:rPr>
                <w:sz w:val="18"/>
                <w:szCs w:val="18"/>
              </w:rPr>
              <w:t xml:space="preserve">ime 1, </w:t>
            </w:r>
            <w:r w:rsidR="00921AE8" w:rsidRPr="00605672">
              <w:rPr>
                <w:rFonts w:eastAsia="Times New Roman"/>
                <w:color w:val="000000"/>
                <w:sz w:val="18"/>
                <w:szCs w:val="18"/>
              </w:rPr>
              <w:t>SINVT1</w:t>
            </w:r>
          </w:p>
        </w:tc>
        <w:tc>
          <w:tcPr>
            <w:tcW w:w="572" w:type="dxa"/>
            <w:shd w:val="clear" w:color="auto" w:fill="auto"/>
            <w:noWrap/>
          </w:tcPr>
          <w:p w14:paraId="26CC3EC0" w14:textId="77777777" w:rsidR="00921AE8" w:rsidRPr="00605672" w:rsidRDefault="00921AE8" w:rsidP="004B0C26">
            <w:pPr>
              <w:jc w:val="right"/>
              <w:rPr>
                <w:rFonts w:eastAsia="Times New Roman"/>
                <w:color w:val="000000"/>
                <w:sz w:val="18"/>
                <w:szCs w:val="18"/>
              </w:rPr>
            </w:pPr>
            <w:r w:rsidRPr="00605672">
              <w:rPr>
                <w:sz w:val="18"/>
                <w:szCs w:val="18"/>
              </w:rPr>
              <w:t>.02</w:t>
            </w:r>
          </w:p>
        </w:tc>
        <w:tc>
          <w:tcPr>
            <w:tcW w:w="573" w:type="dxa"/>
            <w:shd w:val="clear" w:color="auto" w:fill="auto"/>
            <w:noWrap/>
          </w:tcPr>
          <w:p w14:paraId="049017A8" w14:textId="77777777" w:rsidR="00921AE8" w:rsidRPr="00605672" w:rsidRDefault="00921AE8" w:rsidP="004B0C26">
            <w:pPr>
              <w:jc w:val="right"/>
              <w:rPr>
                <w:rFonts w:eastAsia="Times New Roman"/>
                <w:color w:val="000000"/>
                <w:sz w:val="18"/>
                <w:szCs w:val="18"/>
              </w:rPr>
            </w:pPr>
            <w:r w:rsidRPr="00605672">
              <w:rPr>
                <w:sz w:val="18"/>
                <w:szCs w:val="18"/>
              </w:rPr>
              <w:t>.24</w:t>
            </w:r>
          </w:p>
        </w:tc>
        <w:tc>
          <w:tcPr>
            <w:tcW w:w="573" w:type="dxa"/>
            <w:shd w:val="clear" w:color="auto" w:fill="auto"/>
            <w:noWrap/>
          </w:tcPr>
          <w:p w14:paraId="26E83B95" w14:textId="77777777" w:rsidR="00921AE8" w:rsidRPr="00605672" w:rsidRDefault="00921AE8" w:rsidP="004B0C26">
            <w:pPr>
              <w:jc w:val="right"/>
              <w:rPr>
                <w:rFonts w:eastAsia="Times New Roman"/>
                <w:color w:val="000000"/>
                <w:sz w:val="18"/>
                <w:szCs w:val="18"/>
              </w:rPr>
            </w:pPr>
            <w:r w:rsidRPr="00605672">
              <w:rPr>
                <w:sz w:val="18"/>
                <w:szCs w:val="18"/>
              </w:rPr>
              <w:t>.35</w:t>
            </w:r>
          </w:p>
        </w:tc>
        <w:tc>
          <w:tcPr>
            <w:tcW w:w="573" w:type="dxa"/>
            <w:shd w:val="clear" w:color="auto" w:fill="auto"/>
            <w:noWrap/>
          </w:tcPr>
          <w:p w14:paraId="36429BC5" w14:textId="77777777" w:rsidR="00921AE8" w:rsidRPr="00605672" w:rsidRDefault="00921AE8" w:rsidP="004B0C26">
            <w:pPr>
              <w:jc w:val="right"/>
              <w:rPr>
                <w:rFonts w:eastAsia="Times New Roman"/>
                <w:b/>
                <w:color w:val="000000"/>
                <w:sz w:val="18"/>
                <w:szCs w:val="18"/>
              </w:rPr>
            </w:pPr>
            <w:r w:rsidRPr="00605672">
              <w:rPr>
                <w:b/>
                <w:sz w:val="18"/>
                <w:szCs w:val="18"/>
              </w:rPr>
              <w:t>.55</w:t>
            </w:r>
          </w:p>
        </w:tc>
        <w:tc>
          <w:tcPr>
            <w:tcW w:w="572" w:type="dxa"/>
            <w:shd w:val="clear" w:color="auto" w:fill="auto"/>
            <w:noWrap/>
          </w:tcPr>
          <w:p w14:paraId="345EA9D6" w14:textId="77777777" w:rsidR="00921AE8" w:rsidRPr="00605672" w:rsidRDefault="00921AE8" w:rsidP="004B0C26">
            <w:pPr>
              <w:jc w:val="right"/>
              <w:rPr>
                <w:rFonts w:eastAsia="Times New Roman"/>
                <w:color w:val="000000"/>
                <w:sz w:val="18"/>
                <w:szCs w:val="18"/>
              </w:rPr>
            </w:pPr>
          </w:p>
        </w:tc>
        <w:tc>
          <w:tcPr>
            <w:tcW w:w="573" w:type="dxa"/>
            <w:shd w:val="clear" w:color="auto" w:fill="auto"/>
            <w:noWrap/>
          </w:tcPr>
          <w:p w14:paraId="2EA64558" w14:textId="77777777" w:rsidR="00921AE8" w:rsidRPr="00605672" w:rsidRDefault="00921AE8" w:rsidP="004B0C26">
            <w:pPr>
              <w:rPr>
                <w:rFonts w:eastAsia="Times New Roman"/>
                <w:sz w:val="18"/>
                <w:szCs w:val="18"/>
              </w:rPr>
            </w:pPr>
          </w:p>
        </w:tc>
        <w:tc>
          <w:tcPr>
            <w:tcW w:w="573" w:type="dxa"/>
            <w:shd w:val="clear" w:color="auto" w:fill="auto"/>
            <w:noWrap/>
          </w:tcPr>
          <w:p w14:paraId="3BBF0933" w14:textId="77777777" w:rsidR="00921AE8" w:rsidRPr="00605672" w:rsidRDefault="00921AE8" w:rsidP="004B0C26">
            <w:pPr>
              <w:rPr>
                <w:rFonts w:eastAsia="Times New Roman"/>
                <w:sz w:val="18"/>
                <w:szCs w:val="18"/>
              </w:rPr>
            </w:pPr>
          </w:p>
        </w:tc>
        <w:tc>
          <w:tcPr>
            <w:tcW w:w="573" w:type="dxa"/>
            <w:shd w:val="clear" w:color="auto" w:fill="auto"/>
            <w:noWrap/>
          </w:tcPr>
          <w:p w14:paraId="2AD0C744" w14:textId="77777777" w:rsidR="00921AE8" w:rsidRPr="00605672" w:rsidRDefault="00921AE8" w:rsidP="004B0C26">
            <w:pPr>
              <w:rPr>
                <w:rFonts w:eastAsia="Times New Roman"/>
                <w:sz w:val="18"/>
                <w:szCs w:val="18"/>
              </w:rPr>
            </w:pPr>
          </w:p>
        </w:tc>
        <w:tc>
          <w:tcPr>
            <w:tcW w:w="572" w:type="dxa"/>
            <w:shd w:val="clear" w:color="auto" w:fill="auto"/>
            <w:noWrap/>
          </w:tcPr>
          <w:p w14:paraId="26793819" w14:textId="77777777" w:rsidR="00921AE8" w:rsidRPr="00605672" w:rsidRDefault="00921AE8" w:rsidP="004B0C26">
            <w:pPr>
              <w:rPr>
                <w:rFonts w:eastAsia="Times New Roman"/>
                <w:sz w:val="18"/>
                <w:szCs w:val="18"/>
              </w:rPr>
            </w:pPr>
          </w:p>
        </w:tc>
        <w:tc>
          <w:tcPr>
            <w:tcW w:w="573" w:type="dxa"/>
            <w:shd w:val="clear" w:color="auto" w:fill="auto"/>
            <w:noWrap/>
          </w:tcPr>
          <w:p w14:paraId="1369D9FF" w14:textId="77777777" w:rsidR="00921AE8" w:rsidRPr="00605672" w:rsidRDefault="00921AE8" w:rsidP="004B0C26">
            <w:pPr>
              <w:rPr>
                <w:rFonts w:eastAsia="Times New Roman"/>
                <w:sz w:val="18"/>
                <w:szCs w:val="18"/>
              </w:rPr>
            </w:pPr>
          </w:p>
        </w:tc>
        <w:tc>
          <w:tcPr>
            <w:tcW w:w="573" w:type="dxa"/>
            <w:shd w:val="clear" w:color="auto" w:fill="auto"/>
            <w:noWrap/>
          </w:tcPr>
          <w:p w14:paraId="5EDCC6FA" w14:textId="77777777" w:rsidR="00921AE8" w:rsidRPr="00605672" w:rsidRDefault="00921AE8" w:rsidP="004B0C26">
            <w:pPr>
              <w:rPr>
                <w:rFonts w:eastAsia="Times New Roman"/>
                <w:sz w:val="18"/>
                <w:szCs w:val="18"/>
              </w:rPr>
            </w:pPr>
          </w:p>
        </w:tc>
        <w:tc>
          <w:tcPr>
            <w:tcW w:w="573" w:type="dxa"/>
            <w:shd w:val="clear" w:color="auto" w:fill="auto"/>
            <w:noWrap/>
          </w:tcPr>
          <w:p w14:paraId="56CA5FA0" w14:textId="77777777" w:rsidR="00921AE8" w:rsidRPr="00605672" w:rsidRDefault="00921AE8" w:rsidP="004B0C26">
            <w:pPr>
              <w:rPr>
                <w:rFonts w:eastAsia="Times New Roman"/>
                <w:sz w:val="18"/>
                <w:szCs w:val="18"/>
              </w:rPr>
            </w:pPr>
          </w:p>
        </w:tc>
        <w:tc>
          <w:tcPr>
            <w:tcW w:w="572" w:type="dxa"/>
            <w:shd w:val="clear" w:color="auto" w:fill="auto"/>
            <w:noWrap/>
          </w:tcPr>
          <w:p w14:paraId="2CC3722A" w14:textId="77777777" w:rsidR="00921AE8" w:rsidRPr="00605672" w:rsidRDefault="00921AE8" w:rsidP="004B0C26">
            <w:pPr>
              <w:rPr>
                <w:rFonts w:eastAsia="Times New Roman"/>
                <w:sz w:val="18"/>
                <w:szCs w:val="18"/>
              </w:rPr>
            </w:pPr>
          </w:p>
        </w:tc>
        <w:tc>
          <w:tcPr>
            <w:tcW w:w="573" w:type="dxa"/>
            <w:shd w:val="clear" w:color="auto" w:fill="auto"/>
            <w:noWrap/>
          </w:tcPr>
          <w:p w14:paraId="60FF8475" w14:textId="77777777" w:rsidR="00921AE8" w:rsidRPr="00605672" w:rsidRDefault="00921AE8" w:rsidP="004B0C26">
            <w:pPr>
              <w:rPr>
                <w:rFonts w:eastAsia="Times New Roman"/>
                <w:sz w:val="18"/>
                <w:szCs w:val="18"/>
              </w:rPr>
            </w:pPr>
          </w:p>
        </w:tc>
        <w:tc>
          <w:tcPr>
            <w:tcW w:w="573" w:type="dxa"/>
            <w:shd w:val="clear" w:color="auto" w:fill="auto"/>
            <w:noWrap/>
          </w:tcPr>
          <w:p w14:paraId="4589561E" w14:textId="77777777" w:rsidR="00921AE8" w:rsidRPr="00605672" w:rsidRDefault="00921AE8" w:rsidP="004B0C26">
            <w:pPr>
              <w:rPr>
                <w:rFonts w:eastAsia="Times New Roman"/>
                <w:sz w:val="18"/>
                <w:szCs w:val="18"/>
              </w:rPr>
            </w:pPr>
          </w:p>
        </w:tc>
        <w:tc>
          <w:tcPr>
            <w:tcW w:w="573" w:type="dxa"/>
            <w:shd w:val="clear" w:color="auto" w:fill="auto"/>
            <w:noWrap/>
          </w:tcPr>
          <w:p w14:paraId="40B9A007" w14:textId="77777777" w:rsidR="00921AE8" w:rsidRPr="00605672" w:rsidRDefault="00921AE8" w:rsidP="004B0C26">
            <w:pPr>
              <w:rPr>
                <w:rFonts w:eastAsia="Times New Roman"/>
                <w:sz w:val="18"/>
                <w:szCs w:val="18"/>
              </w:rPr>
            </w:pPr>
          </w:p>
        </w:tc>
        <w:tc>
          <w:tcPr>
            <w:tcW w:w="573" w:type="dxa"/>
            <w:shd w:val="clear" w:color="auto" w:fill="auto"/>
            <w:noWrap/>
          </w:tcPr>
          <w:p w14:paraId="2C3D124C" w14:textId="77777777" w:rsidR="00921AE8" w:rsidRPr="00605672" w:rsidRDefault="00921AE8" w:rsidP="004B0C26">
            <w:pPr>
              <w:rPr>
                <w:rFonts w:eastAsia="Times New Roman"/>
                <w:sz w:val="18"/>
                <w:szCs w:val="18"/>
              </w:rPr>
            </w:pPr>
          </w:p>
        </w:tc>
      </w:tr>
      <w:tr w:rsidR="0062648F" w:rsidRPr="00605672" w14:paraId="13BE8C5A" w14:textId="77777777" w:rsidTr="0062648F">
        <w:trPr>
          <w:trHeight w:val="227"/>
          <w:jc w:val="center"/>
        </w:trPr>
        <w:tc>
          <w:tcPr>
            <w:tcW w:w="4518" w:type="dxa"/>
            <w:shd w:val="clear" w:color="auto" w:fill="auto"/>
            <w:noWrap/>
            <w:vAlign w:val="bottom"/>
          </w:tcPr>
          <w:p w14:paraId="4A4EAE6F" w14:textId="00DD82D4" w:rsidR="00921AE8" w:rsidRPr="00605672" w:rsidRDefault="0062648F" w:rsidP="00FC679E">
            <w:pPr>
              <w:rPr>
                <w:rFonts w:eastAsia="Times New Roman"/>
                <w:color w:val="000000"/>
                <w:sz w:val="18"/>
                <w:szCs w:val="18"/>
              </w:rPr>
            </w:pPr>
            <w:r w:rsidRPr="00605672">
              <w:rPr>
                <w:sz w:val="18"/>
                <w:szCs w:val="18"/>
              </w:rPr>
              <w:t xml:space="preserve">Reseller </w:t>
            </w:r>
            <w:r w:rsidR="00FC679E">
              <w:rPr>
                <w:sz w:val="18"/>
                <w:szCs w:val="18"/>
              </w:rPr>
              <w:t>i</w:t>
            </w:r>
            <w:r w:rsidRPr="00605672">
              <w:rPr>
                <w:sz w:val="18"/>
                <w:szCs w:val="18"/>
              </w:rPr>
              <w:t xml:space="preserve">nvestments at </w:t>
            </w:r>
            <w:r w:rsidR="00FC679E">
              <w:rPr>
                <w:sz w:val="18"/>
                <w:szCs w:val="18"/>
              </w:rPr>
              <w:t>t</w:t>
            </w:r>
            <w:r w:rsidRPr="00605672">
              <w:rPr>
                <w:sz w:val="18"/>
                <w:szCs w:val="18"/>
              </w:rPr>
              <w:t xml:space="preserve">ime 1, </w:t>
            </w:r>
            <w:r w:rsidR="00921AE8" w:rsidRPr="00605672">
              <w:rPr>
                <w:rFonts w:eastAsia="Times New Roman"/>
                <w:color w:val="000000"/>
                <w:sz w:val="18"/>
                <w:szCs w:val="18"/>
              </w:rPr>
              <w:t>RINVT1</w:t>
            </w:r>
          </w:p>
        </w:tc>
        <w:tc>
          <w:tcPr>
            <w:tcW w:w="572" w:type="dxa"/>
            <w:shd w:val="clear" w:color="auto" w:fill="auto"/>
            <w:noWrap/>
          </w:tcPr>
          <w:p w14:paraId="4786BBC1" w14:textId="77777777" w:rsidR="00921AE8" w:rsidRPr="00605672" w:rsidRDefault="00921AE8" w:rsidP="004B0C26">
            <w:pPr>
              <w:jc w:val="right"/>
              <w:rPr>
                <w:rFonts w:eastAsia="Times New Roman"/>
                <w:color w:val="000000"/>
                <w:sz w:val="18"/>
                <w:szCs w:val="18"/>
              </w:rPr>
            </w:pPr>
            <w:r w:rsidRPr="00605672">
              <w:rPr>
                <w:sz w:val="18"/>
                <w:szCs w:val="18"/>
              </w:rPr>
              <w:t>.25</w:t>
            </w:r>
          </w:p>
        </w:tc>
        <w:tc>
          <w:tcPr>
            <w:tcW w:w="573" w:type="dxa"/>
            <w:shd w:val="clear" w:color="auto" w:fill="auto"/>
            <w:noWrap/>
          </w:tcPr>
          <w:p w14:paraId="16DDB661" w14:textId="77777777" w:rsidR="00921AE8" w:rsidRPr="00605672" w:rsidRDefault="00921AE8" w:rsidP="004B0C26">
            <w:pPr>
              <w:jc w:val="right"/>
              <w:rPr>
                <w:rFonts w:eastAsia="Times New Roman"/>
                <w:color w:val="000000"/>
                <w:sz w:val="18"/>
                <w:szCs w:val="18"/>
              </w:rPr>
            </w:pPr>
            <w:r w:rsidRPr="00605672">
              <w:rPr>
                <w:sz w:val="18"/>
                <w:szCs w:val="18"/>
              </w:rPr>
              <w:t>.49</w:t>
            </w:r>
          </w:p>
        </w:tc>
        <w:tc>
          <w:tcPr>
            <w:tcW w:w="573" w:type="dxa"/>
            <w:shd w:val="clear" w:color="auto" w:fill="auto"/>
            <w:noWrap/>
          </w:tcPr>
          <w:p w14:paraId="52AA63DB" w14:textId="77777777" w:rsidR="00921AE8" w:rsidRPr="00605672" w:rsidRDefault="00921AE8" w:rsidP="004B0C26">
            <w:pPr>
              <w:jc w:val="right"/>
              <w:rPr>
                <w:rFonts w:eastAsia="Times New Roman"/>
                <w:color w:val="000000"/>
                <w:sz w:val="18"/>
                <w:szCs w:val="18"/>
              </w:rPr>
            </w:pPr>
            <w:r w:rsidRPr="00605672">
              <w:rPr>
                <w:sz w:val="18"/>
                <w:szCs w:val="18"/>
              </w:rPr>
              <w:t>1.00</w:t>
            </w:r>
          </w:p>
        </w:tc>
        <w:tc>
          <w:tcPr>
            <w:tcW w:w="573" w:type="dxa"/>
            <w:shd w:val="clear" w:color="auto" w:fill="auto"/>
            <w:noWrap/>
          </w:tcPr>
          <w:p w14:paraId="6DC5A05F" w14:textId="77777777" w:rsidR="00921AE8" w:rsidRPr="00605672" w:rsidRDefault="00921AE8" w:rsidP="004B0C26">
            <w:pPr>
              <w:jc w:val="right"/>
              <w:rPr>
                <w:rFonts w:eastAsia="Times New Roman"/>
                <w:color w:val="000000"/>
                <w:sz w:val="18"/>
                <w:szCs w:val="18"/>
              </w:rPr>
            </w:pPr>
            <w:r w:rsidRPr="00605672">
              <w:rPr>
                <w:sz w:val="18"/>
                <w:szCs w:val="18"/>
              </w:rPr>
              <w:t>.35</w:t>
            </w:r>
          </w:p>
        </w:tc>
        <w:tc>
          <w:tcPr>
            <w:tcW w:w="572" w:type="dxa"/>
            <w:shd w:val="clear" w:color="auto" w:fill="auto"/>
            <w:noWrap/>
          </w:tcPr>
          <w:p w14:paraId="51A65838" w14:textId="77777777" w:rsidR="00921AE8" w:rsidRPr="00605672" w:rsidRDefault="00921AE8" w:rsidP="004B0C26">
            <w:pPr>
              <w:jc w:val="right"/>
              <w:rPr>
                <w:rFonts w:eastAsia="Times New Roman"/>
                <w:b/>
                <w:color w:val="000000"/>
                <w:sz w:val="18"/>
                <w:szCs w:val="18"/>
              </w:rPr>
            </w:pPr>
            <w:r w:rsidRPr="00605672">
              <w:rPr>
                <w:b/>
                <w:sz w:val="18"/>
                <w:szCs w:val="18"/>
              </w:rPr>
              <w:t>.67</w:t>
            </w:r>
          </w:p>
        </w:tc>
        <w:tc>
          <w:tcPr>
            <w:tcW w:w="573" w:type="dxa"/>
            <w:shd w:val="clear" w:color="auto" w:fill="auto"/>
            <w:noWrap/>
          </w:tcPr>
          <w:p w14:paraId="759331FC" w14:textId="77777777" w:rsidR="00921AE8" w:rsidRPr="00605672" w:rsidRDefault="00921AE8" w:rsidP="004B0C26">
            <w:pPr>
              <w:jc w:val="right"/>
              <w:rPr>
                <w:rFonts w:eastAsia="Times New Roman"/>
                <w:color w:val="000000"/>
                <w:sz w:val="18"/>
                <w:szCs w:val="18"/>
              </w:rPr>
            </w:pPr>
          </w:p>
        </w:tc>
        <w:tc>
          <w:tcPr>
            <w:tcW w:w="573" w:type="dxa"/>
            <w:shd w:val="clear" w:color="auto" w:fill="auto"/>
            <w:noWrap/>
          </w:tcPr>
          <w:p w14:paraId="2AF181FD" w14:textId="77777777" w:rsidR="00921AE8" w:rsidRPr="00605672" w:rsidRDefault="00921AE8" w:rsidP="004B0C26">
            <w:pPr>
              <w:rPr>
                <w:rFonts w:eastAsia="Times New Roman"/>
                <w:sz w:val="18"/>
                <w:szCs w:val="18"/>
              </w:rPr>
            </w:pPr>
          </w:p>
        </w:tc>
        <w:tc>
          <w:tcPr>
            <w:tcW w:w="573" w:type="dxa"/>
            <w:shd w:val="clear" w:color="auto" w:fill="auto"/>
            <w:noWrap/>
          </w:tcPr>
          <w:p w14:paraId="0E14A10D" w14:textId="77777777" w:rsidR="00921AE8" w:rsidRPr="00605672" w:rsidRDefault="00921AE8" w:rsidP="004B0C26">
            <w:pPr>
              <w:rPr>
                <w:rFonts w:eastAsia="Times New Roman"/>
                <w:sz w:val="18"/>
                <w:szCs w:val="18"/>
              </w:rPr>
            </w:pPr>
          </w:p>
        </w:tc>
        <w:tc>
          <w:tcPr>
            <w:tcW w:w="572" w:type="dxa"/>
            <w:shd w:val="clear" w:color="auto" w:fill="auto"/>
            <w:noWrap/>
          </w:tcPr>
          <w:p w14:paraId="487336E8" w14:textId="77777777" w:rsidR="00921AE8" w:rsidRPr="00605672" w:rsidRDefault="00921AE8" w:rsidP="004B0C26">
            <w:pPr>
              <w:rPr>
                <w:rFonts w:eastAsia="Times New Roman"/>
                <w:sz w:val="18"/>
                <w:szCs w:val="18"/>
              </w:rPr>
            </w:pPr>
          </w:p>
        </w:tc>
        <w:tc>
          <w:tcPr>
            <w:tcW w:w="573" w:type="dxa"/>
            <w:shd w:val="clear" w:color="auto" w:fill="auto"/>
            <w:noWrap/>
          </w:tcPr>
          <w:p w14:paraId="070E2B31" w14:textId="77777777" w:rsidR="00921AE8" w:rsidRPr="00605672" w:rsidRDefault="00921AE8" w:rsidP="004B0C26">
            <w:pPr>
              <w:rPr>
                <w:rFonts w:eastAsia="Times New Roman"/>
                <w:sz w:val="18"/>
                <w:szCs w:val="18"/>
              </w:rPr>
            </w:pPr>
          </w:p>
        </w:tc>
        <w:tc>
          <w:tcPr>
            <w:tcW w:w="573" w:type="dxa"/>
            <w:shd w:val="clear" w:color="auto" w:fill="auto"/>
            <w:noWrap/>
          </w:tcPr>
          <w:p w14:paraId="459BA029" w14:textId="77777777" w:rsidR="00921AE8" w:rsidRPr="00605672" w:rsidRDefault="00921AE8" w:rsidP="004B0C26">
            <w:pPr>
              <w:rPr>
                <w:rFonts w:eastAsia="Times New Roman"/>
                <w:sz w:val="18"/>
                <w:szCs w:val="18"/>
              </w:rPr>
            </w:pPr>
          </w:p>
        </w:tc>
        <w:tc>
          <w:tcPr>
            <w:tcW w:w="573" w:type="dxa"/>
            <w:shd w:val="clear" w:color="auto" w:fill="auto"/>
            <w:noWrap/>
          </w:tcPr>
          <w:p w14:paraId="7E5C28EC" w14:textId="77777777" w:rsidR="00921AE8" w:rsidRPr="00605672" w:rsidRDefault="00921AE8" w:rsidP="004B0C26">
            <w:pPr>
              <w:rPr>
                <w:rFonts w:eastAsia="Times New Roman"/>
                <w:sz w:val="18"/>
                <w:szCs w:val="18"/>
              </w:rPr>
            </w:pPr>
          </w:p>
        </w:tc>
        <w:tc>
          <w:tcPr>
            <w:tcW w:w="572" w:type="dxa"/>
            <w:shd w:val="clear" w:color="auto" w:fill="auto"/>
            <w:noWrap/>
          </w:tcPr>
          <w:p w14:paraId="309AD262" w14:textId="77777777" w:rsidR="00921AE8" w:rsidRPr="00605672" w:rsidRDefault="00921AE8" w:rsidP="004B0C26">
            <w:pPr>
              <w:rPr>
                <w:rFonts w:eastAsia="Times New Roman"/>
                <w:sz w:val="18"/>
                <w:szCs w:val="18"/>
              </w:rPr>
            </w:pPr>
          </w:p>
        </w:tc>
        <w:tc>
          <w:tcPr>
            <w:tcW w:w="573" w:type="dxa"/>
            <w:shd w:val="clear" w:color="auto" w:fill="auto"/>
            <w:noWrap/>
          </w:tcPr>
          <w:p w14:paraId="3E85BBC3" w14:textId="77777777" w:rsidR="00921AE8" w:rsidRPr="00605672" w:rsidRDefault="00921AE8" w:rsidP="004B0C26">
            <w:pPr>
              <w:rPr>
                <w:rFonts w:eastAsia="Times New Roman"/>
                <w:sz w:val="18"/>
                <w:szCs w:val="18"/>
              </w:rPr>
            </w:pPr>
          </w:p>
        </w:tc>
        <w:tc>
          <w:tcPr>
            <w:tcW w:w="573" w:type="dxa"/>
            <w:shd w:val="clear" w:color="auto" w:fill="auto"/>
            <w:noWrap/>
          </w:tcPr>
          <w:p w14:paraId="2B811097" w14:textId="77777777" w:rsidR="00921AE8" w:rsidRPr="00605672" w:rsidRDefault="00921AE8" w:rsidP="004B0C26">
            <w:pPr>
              <w:rPr>
                <w:rFonts w:eastAsia="Times New Roman"/>
                <w:sz w:val="18"/>
                <w:szCs w:val="18"/>
              </w:rPr>
            </w:pPr>
          </w:p>
        </w:tc>
        <w:tc>
          <w:tcPr>
            <w:tcW w:w="573" w:type="dxa"/>
            <w:shd w:val="clear" w:color="auto" w:fill="auto"/>
            <w:noWrap/>
          </w:tcPr>
          <w:p w14:paraId="11664826" w14:textId="77777777" w:rsidR="00921AE8" w:rsidRPr="00605672" w:rsidRDefault="00921AE8" w:rsidP="004B0C26">
            <w:pPr>
              <w:rPr>
                <w:rFonts w:eastAsia="Times New Roman"/>
                <w:sz w:val="18"/>
                <w:szCs w:val="18"/>
              </w:rPr>
            </w:pPr>
          </w:p>
        </w:tc>
        <w:tc>
          <w:tcPr>
            <w:tcW w:w="573" w:type="dxa"/>
            <w:shd w:val="clear" w:color="auto" w:fill="auto"/>
            <w:noWrap/>
          </w:tcPr>
          <w:p w14:paraId="1BEAA4BC" w14:textId="77777777" w:rsidR="00921AE8" w:rsidRPr="00605672" w:rsidRDefault="00921AE8" w:rsidP="004B0C26">
            <w:pPr>
              <w:rPr>
                <w:rFonts w:eastAsia="Times New Roman"/>
                <w:sz w:val="18"/>
                <w:szCs w:val="18"/>
              </w:rPr>
            </w:pPr>
          </w:p>
        </w:tc>
      </w:tr>
      <w:tr w:rsidR="0062648F" w:rsidRPr="00605672" w14:paraId="1E190329" w14:textId="77777777" w:rsidTr="0062648F">
        <w:trPr>
          <w:trHeight w:val="227"/>
          <w:jc w:val="center"/>
        </w:trPr>
        <w:tc>
          <w:tcPr>
            <w:tcW w:w="4518" w:type="dxa"/>
            <w:shd w:val="clear" w:color="auto" w:fill="auto"/>
            <w:noWrap/>
            <w:vAlign w:val="bottom"/>
          </w:tcPr>
          <w:p w14:paraId="101B1A30" w14:textId="55AC5268" w:rsidR="00921AE8" w:rsidRPr="00605672" w:rsidRDefault="0062648F" w:rsidP="00FC679E">
            <w:pPr>
              <w:rPr>
                <w:rFonts w:eastAsia="Times New Roman"/>
                <w:color w:val="000000"/>
                <w:sz w:val="18"/>
                <w:szCs w:val="18"/>
              </w:rPr>
            </w:pPr>
            <w:r w:rsidRPr="00605672">
              <w:rPr>
                <w:sz w:val="18"/>
                <w:szCs w:val="18"/>
              </w:rPr>
              <w:t xml:space="preserve">Reseller </w:t>
            </w:r>
            <w:r w:rsidR="00FC679E">
              <w:rPr>
                <w:sz w:val="18"/>
                <w:szCs w:val="18"/>
              </w:rPr>
              <w:t>s</w:t>
            </w:r>
            <w:r w:rsidRPr="00605672">
              <w:rPr>
                <w:sz w:val="18"/>
                <w:szCs w:val="18"/>
              </w:rPr>
              <w:t xml:space="preserve">election </w:t>
            </w:r>
            <w:r w:rsidR="00FC679E">
              <w:rPr>
                <w:sz w:val="18"/>
                <w:szCs w:val="18"/>
              </w:rPr>
              <w:t>e</w:t>
            </w:r>
            <w:r w:rsidRPr="00605672">
              <w:rPr>
                <w:sz w:val="18"/>
                <w:szCs w:val="18"/>
              </w:rPr>
              <w:t xml:space="preserve">fforts at </w:t>
            </w:r>
            <w:r w:rsidR="00FC679E">
              <w:rPr>
                <w:sz w:val="18"/>
                <w:szCs w:val="18"/>
              </w:rPr>
              <w:t>t</w:t>
            </w:r>
            <w:r w:rsidRPr="00605672">
              <w:rPr>
                <w:sz w:val="18"/>
                <w:szCs w:val="18"/>
              </w:rPr>
              <w:t xml:space="preserve">ime 1, </w:t>
            </w:r>
            <w:r w:rsidR="003B7993" w:rsidRPr="00605672">
              <w:rPr>
                <w:rFonts w:eastAsia="Times New Roman"/>
                <w:color w:val="000000"/>
                <w:sz w:val="18"/>
                <w:szCs w:val="18"/>
              </w:rPr>
              <w:t>SSEL</w:t>
            </w:r>
            <w:r w:rsidR="00921AE8" w:rsidRPr="00605672">
              <w:rPr>
                <w:rFonts w:eastAsia="Times New Roman"/>
                <w:color w:val="000000"/>
                <w:sz w:val="18"/>
                <w:szCs w:val="18"/>
              </w:rPr>
              <w:t>T1</w:t>
            </w:r>
          </w:p>
        </w:tc>
        <w:tc>
          <w:tcPr>
            <w:tcW w:w="572" w:type="dxa"/>
            <w:shd w:val="clear" w:color="auto" w:fill="auto"/>
            <w:noWrap/>
          </w:tcPr>
          <w:p w14:paraId="7AC84D78" w14:textId="77777777" w:rsidR="00921AE8" w:rsidRPr="00605672" w:rsidRDefault="00921AE8" w:rsidP="004B0C26">
            <w:pPr>
              <w:jc w:val="right"/>
              <w:rPr>
                <w:rFonts w:eastAsia="Times New Roman"/>
                <w:color w:val="000000"/>
                <w:sz w:val="18"/>
                <w:szCs w:val="18"/>
              </w:rPr>
            </w:pPr>
            <w:r w:rsidRPr="00605672">
              <w:rPr>
                <w:sz w:val="18"/>
                <w:szCs w:val="18"/>
              </w:rPr>
              <w:t>-.01</w:t>
            </w:r>
          </w:p>
        </w:tc>
        <w:tc>
          <w:tcPr>
            <w:tcW w:w="573" w:type="dxa"/>
            <w:shd w:val="clear" w:color="auto" w:fill="auto"/>
            <w:noWrap/>
          </w:tcPr>
          <w:p w14:paraId="7150F0F9" w14:textId="77777777" w:rsidR="00921AE8" w:rsidRPr="00605672" w:rsidRDefault="00921AE8" w:rsidP="004B0C26">
            <w:pPr>
              <w:jc w:val="right"/>
              <w:rPr>
                <w:rFonts w:eastAsia="Times New Roman"/>
                <w:color w:val="000000"/>
                <w:sz w:val="18"/>
                <w:szCs w:val="18"/>
              </w:rPr>
            </w:pPr>
            <w:r w:rsidRPr="00605672">
              <w:rPr>
                <w:sz w:val="18"/>
                <w:szCs w:val="18"/>
              </w:rPr>
              <w:t>.38</w:t>
            </w:r>
          </w:p>
        </w:tc>
        <w:tc>
          <w:tcPr>
            <w:tcW w:w="573" w:type="dxa"/>
            <w:shd w:val="clear" w:color="auto" w:fill="auto"/>
            <w:noWrap/>
          </w:tcPr>
          <w:p w14:paraId="49396E60" w14:textId="77777777" w:rsidR="00921AE8" w:rsidRPr="00605672" w:rsidRDefault="00921AE8" w:rsidP="004B0C26">
            <w:pPr>
              <w:jc w:val="right"/>
              <w:rPr>
                <w:rFonts w:eastAsia="Times New Roman"/>
                <w:color w:val="000000"/>
                <w:sz w:val="18"/>
                <w:szCs w:val="18"/>
              </w:rPr>
            </w:pPr>
            <w:r w:rsidRPr="00605672">
              <w:rPr>
                <w:sz w:val="18"/>
                <w:szCs w:val="18"/>
              </w:rPr>
              <w:t>.38</w:t>
            </w:r>
          </w:p>
        </w:tc>
        <w:tc>
          <w:tcPr>
            <w:tcW w:w="573" w:type="dxa"/>
            <w:shd w:val="clear" w:color="auto" w:fill="auto"/>
            <w:noWrap/>
          </w:tcPr>
          <w:p w14:paraId="3B4C44B3" w14:textId="77777777" w:rsidR="00921AE8" w:rsidRPr="00605672" w:rsidRDefault="00921AE8" w:rsidP="004B0C26">
            <w:pPr>
              <w:jc w:val="right"/>
              <w:rPr>
                <w:rFonts w:eastAsia="Times New Roman"/>
                <w:color w:val="000000"/>
                <w:sz w:val="18"/>
                <w:szCs w:val="18"/>
              </w:rPr>
            </w:pPr>
            <w:r w:rsidRPr="00605672">
              <w:rPr>
                <w:sz w:val="18"/>
                <w:szCs w:val="18"/>
              </w:rPr>
              <w:t>.31</w:t>
            </w:r>
          </w:p>
        </w:tc>
        <w:tc>
          <w:tcPr>
            <w:tcW w:w="572" w:type="dxa"/>
            <w:shd w:val="clear" w:color="auto" w:fill="auto"/>
            <w:noWrap/>
          </w:tcPr>
          <w:p w14:paraId="77F4491C" w14:textId="77777777" w:rsidR="00921AE8" w:rsidRPr="00605672" w:rsidRDefault="00921AE8" w:rsidP="004B0C26">
            <w:pPr>
              <w:jc w:val="right"/>
              <w:rPr>
                <w:rFonts w:eastAsia="Times New Roman"/>
                <w:color w:val="000000"/>
                <w:sz w:val="18"/>
                <w:szCs w:val="18"/>
              </w:rPr>
            </w:pPr>
            <w:r w:rsidRPr="00605672">
              <w:rPr>
                <w:sz w:val="18"/>
                <w:szCs w:val="18"/>
              </w:rPr>
              <w:t>.38</w:t>
            </w:r>
          </w:p>
        </w:tc>
        <w:tc>
          <w:tcPr>
            <w:tcW w:w="573" w:type="dxa"/>
            <w:shd w:val="clear" w:color="auto" w:fill="auto"/>
            <w:noWrap/>
          </w:tcPr>
          <w:p w14:paraId="71A5BF50" w14:textId="77777777" w:rsidR="00921AE8" w:rsidRPr="00605672" w:rsidRDefault="00921AE8" w:rsidP="004B0C26">
            <w:pPr>
              <w:jc w:val="right"/>
              <w:rPr>
                <w:rFonts w:eastAsia="Times New Roman"/>
                <w:b/>
                <w:color w:val="000000"/>
                <w:sz w:val="18"/>
                <w:szCs w:val="18"/>
              </w:rPr>
            </w:pPr>
            <w:r w:rsidRPr="00605672">
              <w:rPr>
                <w:b/>
                <w:sz w:val="18"/>
                <w:szCs w:val="18"/>
              </w:rPr>
              <w:t>.81</w:t>
            </w:r>
          </w:p>
        </w:tc>
        <w:tc>
          <w:tcPr>
            <w:tcW w:w="573" w:type="dxa"/>
            <w:shd w:val="clear" w:color="auto" w:fill="auto"/>
            <w:noWrap/>
          </w:tcPr>
          <w:p w14:paraId="7EA961E9" w14:textId="77777777" w:rsidR="00921AE8" w:rsidRPr="00605672" w:rsidRDefault="00921AE8" w:rsidP="004B0C26">
            <w:pPr>
              <w:jc w:val="right"/>
              <w:rPr>
                <w:rFonts w:eastAsia="Times New Roman"/>
                <w:color w:val="000000"/>
                <w:sz w:val="18"/>
                <w:szCs w:val="18"/>
              </w:rPr>
            </w:pPr>
          </w:p>
        </w:tc>
        <w:tc>
          <w:tcPr>
            <w:tcW w:w="573" w:type="dxa"/>
            <w:shd w:val="clear" w:color="auto" w:fill="auto"/>
            <w:noWrap/>
          </w:tcPr>
          <w:p w14:paraId="431E1F9B" w14:textId="77777777" w:rsidR="00921AE8" w:rsidRPr="00605672" w:rsidRDefault="00921AE8" w:rsidP="004B0C26">
            <w:pPr>
              <w:rPr>
                <w:rFonts w:eastAsia="Times New Roman"/>
                <w:sz w:val="18"/>
                <w:szCs w:val="18"/>
              </w:rPr>
            </w:pPr>
          </w:p>
        </w:tc>
        <w:tc>
          <w:tcPr>
            <w:tcW w:w="572" w:type="dxa"/>
            <w:shd w:val="clear" w:color="auto" w:fill="auto"/>
            <w:noWrap/>
          </w:tcPr>
          <w:p w14:paraId="75AF4FCD" w14:textId="77777777" w:rsidR="00921AE8" w:rsidRPr="00605672" w:rsidRDefault="00921AE8" w:rsidP="004B0C26">
            <w:pPr>
              <w:rPr>
                <w:rFonts w:eastAsia="Times New Roman"/>
                <w:sz w:val="18"/>
                <w:szCs w:val="18"/>
              </w:rPr>
            </w:pPr>
          </w:p>
        </w:tc>
        <w:tc>
          <w:tcPr>
            <w:tcW w:w="573" w:type="dxa"/>
            <w:shd w:val="clear" w:color="auto" w:fill="auto"/>
            <w:noWrap/>
          </w:tcPr>
          <w:p w14:paraId="61956B26" w14:textId="77777777" w:rsidR="00921AE8" w:rsidRPr="00605672" w:rsidRDefault="00921AE8" w:rsidP="004B0C26">
            <w:pPr>
              <w:rPr>
                <w:rFonts w:eastAsia="Times New Roman"/>
                <w:sz w:val="18"/>
                <w:szCs w:val="18"/>
              </w:rPr>
            </w:pPr>
          </w:p>
        </w:tc>
        <w:tc>
          <w:tcPr>
            <w:tcW w:w="573" w:type="dxa"/>
            <w:shd w:val="clear" w:color="auto" w:fill="auto"/>
            <w:noWrap/>
          </w:tcPr>
          <w:p w14:paraId="3C3C7E6D" w14:textId="77777777" w:rsidR="00921AE8" w:rsidRPr="00605672" w:rsidRDefault="00921AE8" w:rsidP="004B0C26">
            <w:pPr>
              <w:rPr>
                <w:rFonts w:eastAsia="Times New Roman"/>
                <w:sz w:val="18"/>
                <w:szCs w:val="18"/>
              </w:rPr>
            </w:pPr>
          </w:p>
        </w:tc>
        <w:tc>
          <w:tcPr>
            <w:tcW w:w="573" w:type="dxa"/>
            <w:shd w:val="clear" w:color="auto" w:fill="auto"/>
            <w:noWrap/>
          </w:tcPr>
          <w:p w14:paraId="77CAEB78" w14:textId="77777777" w:rsidR="00921AE8" w:rsidRPr="00605672" w:rsidRDefault="00921AE8" w:rsidP="004B0C26">
            <w:pPr>
              <w:rPr>
                <w:rFonts w:eastAsia="Times New Roman"/>
                <w:sz w:val="18"/>
                <w:szCs w:val="18"/>
              </w:rPr>
            </w:pPr>
          </w:p>
        </w:tc>
        <w:tc>
          <w:tcPr>
            <w:tcW w:w="572" w:type="dxa"/>
            <w:shd w:val="clear" w:color="auto" w:fill="auto"/>
            <w:noWrap/>
          </w:tcPr>
          <w:p w14:paraId="3EB84C8F" w14:textId="77777777" w:rsidR="00921AE8" w:rsidRPr="00605672" w:rsidRDefault="00921AE8" w:rsidP="004B0C26">
            <w:pPr>
              <w:rPr>
                <w:rFonts w:eastAsia="Times New Roman"/>
                <w:sz w:val="18"/>
                <w:szCs w:val="18"/>
              </w:rPr>
            </w:pPr>
          </w:p>
        </w:tc>
        <w:tc>
          <w:tcPr>
            <w:tcW w:w="573" w:type="dxa"/>
            <w:shd w:val="clear" w:color="auto" w:fill="auto"/>
            <w:noWrap/>
          </w:tcPr>
          <w:p w14:paraId="3F5DEE6E" w14:textId="77777777" w:rsidR="00921AE8" w:rsidRPr="00605672" w:rsidRDefault="00921AE8" w:rsidP="004B0C26">
            <w:pPr>
              <w:rPr>
                <w:rFonts w:eastAsia="Times New Roman"/>
                <w:sz w:val="18"/>
                <w:szCs w:val="18"/>
              </w:rPr>
            </w:pPr>
          </w:p>
        </w:tc>
        <w:tc>
          <w:tcPr>
            <w:tcW w:w="573" w:type="dxa"/>
            <w:shd w:val="clear" w:color="auto" w:fill="auto"/>
            <w:noWrap/>
          </w:tcPr>
          <w:p w14:paraId="1190BBB2" w14:textId="77777777" w:rsidR="00921AE8" w:rsidRPr="00605672" w:rsidRDefault="00921AE8" w:rsidP="004B0C26">
            <w:pPr>
              <w:rPr>
                <w:rFonts w:eastAsia="Times New Roman"/>
                <w:sz w:val="18"/>
                <w:szCs w:val="18"/>
              </w:rPr>
            </w:pPr>
          </w:p>
        </w:tc>
        <w:tc>
          <w:tcPr>
            <w:tcW w:w="573" w:type="dxa"/>
            <w:shd w:val="clear" w:color="auto" w:fill="auto"/>
            <w:noWrap/>
          </w:tcPr>
          <w:p w14:paraId="787D44F2" w14:textId="77777777" w:rsidR="00921AE8" w:rsidRPr="00605672" w:rsidRDefault="00921AE8" w:rsidP="004B0C26">
            <w:pPr>
              <w:rPr>
                <w:rFonts w:eastAsia="Times New Roman"/>
                <w:sz w:val="18"/>
                <w:szCs w:val="18"/>
              </w:rPr>
            </w:pPr>
          </w:p>
        </w:tc>
        <w:tc>
          <w:tcPr>
            <w:tcW w:w="573" w:type="dxa"/>
            <w:shd w:val="clear" w:color="auto" w:fill="auto"/>
            <w:noWrap/>
          </w:tcPr>
          <w:p w14:paraId="78CAFB56" w14:textId="77777777" w:rsidR="00921AE8" w:rsidRPr="00605672" w:rsidRDefault="00921AE8" w:rsidP="004B0C26">
            <w:pPr>
              <w:rPr>
                <w:rFonts w:eastAsia="Times New Roman"/>
                <w:sz w:val="18"/>
                <w:szCs w:val="18"/>
              </w:rPr>
            </w:pPr>
          </w:p>
        </w:tc>
      </w:tr>
      <w:tr w:rsidR="0062648F" w:rsidRPr="00605672" w14:paraId="00364FEA" w14:textId="77777777" w:rsidTr="0062648F">
        <w:trPr>
          <w:trHeight w:val="227"/>
          <w:jc w:val="center"/>
        </w:trPr>
        <w:tc>
          <w:tcPr>
            <w:tcW w:w="4518" w:type="dxa"/>
            <w:shd w:val="clear" w:color="auto" w:fill="auto"/>
            <w:noWrap/>
            <w:vAlign w:val="bottom"/>
          </w:tcPr>
          <w:p w14:paraId="409B0B8B" w14:textId="58BF6213" w:rsidR="00921AE8" w:rsidRPr="00605672" w:rsidRDefault="0062648F" w:rsidP="00FC679E">
            <w:pPr>
              <w:rPr>
                <w:rFonts w:eastAsia="Times New Roman"/>
                <w:color w:val="000000"/>
                <w:sz w:val="18"/>
                <w:szCs w:val="18"/>
              </w:rPr>
            </w:pPr>
            <w:r w:rsidRPr="00605672">
              <w:rPr>
                <w:sz w:val="18"/>
                <w:szCs w:val="18"/>
              </w:rPr>
              <w:t xml:space="preserve">Supplier </w:t>
            </w:r>
            <w:r w:rsidR="00FC679E">
              <w:rPr>
                <w:sz w:val="18"/>
                <w:szCs w:val="18"/>
              </w:rPr>
              <w:t>s</w:t>
            </w:r>
            <w:r w:rsidRPr="00605672">
              <w:rPr>
                <w:sz w:val="18"/>
                <w:szCs w:val="18"/>
              </w:rPr>
              <w:t xml:space="preserve">election </w:t>
            </w:r>
            <w:r w:rsidR="00FC679E">
              <w:rPr>
                <w:sz w:val="18"/>
                <w:szCs w:val="18"/>
              </w:rPr>
              <w:t>e</w:t>
            </w:r>
            <w:r w:rsidR="00033918" w:rsidRPr="00605672">
              <w:rPr>
                <w:sz w:val="18"/>
                <w:szCs w:val="18"/>
              </w:rPr>
              <w:t xml:space="preserve">fforts </w:t>
            </w:r>
            <w:r w:rsidRPr="00605672">
              <w:rPr>
                <w:sz w:val="18"/>
                <w:szCs w:val="18"/>
              </w:rPr>
              <w:t>at</w:t>
            </w:r>
            <w:r w:rsidR="00FC679E">
              <w:rPr>
                <w:sz w:val="18"/>
                <w:szCs w:val="18"/>
              </w:rPr>
              <w:t xml:space="preserve"> t</w:t>
            </w:r>
            <w:r w:rsidRPr="00605672">
              <w:rPr>
                <w:sz w:val="18"/>
                <w:szCs w:val="18"/>
              </w:rPr>
              <w:t xml:space="preserve">ime 1, </w:t>
            </w:r>
            <w:r w:rsidR="003B7993" w:rsidRPr="00605672">
              <w:rPr>
                <w:rFonts w:eastAsia="Times New Roman"/>
                <w:color w:val="000000"/>
                <w:sz w:val="18"/>
                <w:szCs w:val="18"/>
              </w:rPr>
              <w:t>RSEL</w:t>
            </w:r>
            <w:r w:rsidR="00921AE8" w:rsidRPr="00605672">
              <w:rPr>
                <w:rFonts w:eastAsia="Times New Roman"/>
                <w:color w:val="000000"/>
                <w:sz w:val="18"/>
                <w:szCs w:val="18"/>
              </w:rPr>
              <w:t>T1</w:t>
            </w:r>
          </w:p>
        </w:tc>
        <w:tc>
          <w:tcPr>
            <w:tcW w:w="572" w:type="dxa"/>
            <w:shd w:val="clear" w:color="auto" w:fill="auto"/>
            <w:noWrap/>
          </w:tcPr>
          <w:p w14:paraId="1716B08F" w14:textId="77777777" w:rsidR="00921AE8" w:rsidRPr="00605672" w:rsidRDefault="00921AE8" w:rsidP="004B0C26">
            <w:pPr>
              <w:jc w:val="right"/>
              <w:rPr>
                <w:rFonts w:eastAsia="Times New Roman"/>
                <w:color w:val="000000"/>
                <w:sz w:val="18"/>
                <w:szCs w:val="18"/>
              </w:rPr>
            </w:pPr>
            <w:r w:rsidRPr="00605672">
              <w:rPr>
                <w:sz w:val="18"/>
                <w:szCs w:val="18"/>
              </w:rPr>
              <w:t>.02</w:t>
            </w:r>
          </w:p>
        </w:tc>
        <w:tc>
          <w:tcPr>
            <w:tcW w:w="573" w:type="dxa"/>
            <w:shd w:val="clear" w:color="auto" w:fill="auto"/>
            <w:noWrap/>
          </w:tcPr>
          <w:p w14:paraId="5C80285A" w14:textId="77777777" w:rsidR="00921AE8" w:rsidRPr="00605672" w:rsidRDefault="00921AE8" w:rsidP="004B0C26">
            <w:pPr>
              <w:jc w:val="right"/>
              <w:rPr>
                <w:rFonts w:eastAsia="Times New Roman"/>
                <w:color w:val="000000"/>
                <w:sz w:val="18"/>
                <w:szCs w:val="18"/>
              </w:rPr>
            </w:pPr>
            <w:r w:rsidRPr="00605672">
              <w:rPr>
                <w:sz w:val="18"/>
                <w:szCs w:val="18"/>
              </w:rPr>
              <w:t>.12</w:t>
            </w:r>
          </w:p>
        </w:tc>
        <w:tc>
          <w:tcPr>
            <w:tcW w:w="573" w:type="dxa"/>
            <w:shd w:val="clear" w:color="auto" w:fill="auto"/>
            <w:noWrap/>
          </w:tcPr>
          <w:p w14:paraId="3B98ECB2" w14:textId="77777777" w:rsidR="00921AE8" w:rsidRPr="00605672" w:rsidRDefault="00921AE8" w:rsidP="004B0C26">
            <w:pPr>
              <w:jc w:val="right"/>
              <w:rPr>
                <w:rFonts w:eastAsia="Times New Roman"/>
                <w:color w:val="000000"/>
                <w:sz w:val="18"/>
                <w:szCs w:val="18"/>
              </w:rPr>
            </w:pPr>
            <w:r w:rsidRPr="00605672">
              <w:rPr>
                <w:sz w:val="18"/>
                <w:szCs w:val="18"/>
              </w:rPr>
              <w:t>-.07</w:t>
            </w:r>
          </w:p>
        </w:tc>
        <w:tc>
          <w:tcPr>
            <w:tcW w:w="573" w:type="dxa"/>
            <w:shd w:val="clear" w:color="auto" w:fill="auto"/>
            <w:noWrap/>
          </w:tcPr>
          <w:p w14:paraId="74BD46FF" w14:textId="77777777" w:rsidR="00921AE8" w:rsidRPr="00605672" w:rsidRDefault="00921AE8" w:rsidP="004B0C26">
            <w:pPr>
              <w:jc w:val="right"/>
              <w:rPr>
                <w:rFonts w:eastAsia="Times New Roman"/>
                <w:color w:val="000000"/>
                <w:sz w:val="18"/>
                <w:szCs w:val="18"/>
              </w:rPr>
            </w:pPr>
            <w:r w:rsidRPr="00605672">
              <w:rPr>
                <w:sz w:val="18"/>
                <w:szCs w:val="18"/>
              </w:rPr>
              <w:t>.05</w:t>
            </w:r>
          </w:p>
        </w:tc>
        <w:tc>
          <w:tcPr>
            <w:tcW w:w="572" w:type="dxa"/>
            <w:shd w:val="clear" w:color="auto" w:fill="auto"/>
            <w:noWrap/>
          </w:tcPr>
          <w:p w14:paraId="1C5998C7" w14:textId="77777777" w:rsidR="00921AE8" w:rsidRPr="00605672" w:rsidRDefault="00921AE8" w:rsidP="004B0C26">
            <w:pPr>
              <w:jc w:val="right"/>
              <w:rPr>
                <w:rFonts w:eastAsia="Times New Roman"/>
                <w:color w:val="000000"/>
                <w:sz w:val="18"/>
                <w:szCs w:val="18"/>
              </w:rPr>
            </w:pPr>
            <w:r w:rsidRPr="00605672">
              <w:rPr>
                <w:sz w:val="18"/>
                <w:szCs w:val="18"/>
              </w:rPr>
              <w:t>-.07</w:t>
            </w:r>
          </w:p>
        </w:tc>
        <w:tc>
          <w:tcPr>
            <w:tcW w:w="573" w:type="dxa"/>
            <w:shd w:val="clear" w:color="auto" w:fill="auto"/>
            <w:noWrap/>
          </w:tcPr>
          <w:p w14:paraId="3446D2C0" w14:textId="77777777" w:rsidR="00921AE8" w:rsidRPr="00605672" w:rsidRDefault="00921AE8" w:rsidP="004B0C26">
            <w:pPr>
              <w:jc w:val="right"/>
              <w:rPr>
                <w:rFonts w:eastAsia="Times New Roman"/>
                <w:color w:val="000000"/>
                <w:sz w:val="18"/>
                <w:szCs w:val="18"/>
              </w:rPr>
            </w:pPr>
            <w:r w:rsidRPr="00605672">
              <w:rPr>
                <w:sz w:val="18"/>
                <w:szCs w:val="18"/>
              </w:rPr>
              <w:t>-.12</w:t>
            </w:r>
          </w:p>
        </w:tc>
        <w:tc>
          <w:tcPr>
            <w:tcW w:w="573" w:type="dxa"/>
            <w:shd w:val="clear" w:color="auto" w:fill="auto"/>
            <w:noWrap/>
          </w:tcPr>
          <w:p w14:paraId="1C0FDC08" w14:textId="77777777" w:rsidR="00921AE8" w:rsidRPr="00605672" w:rsidRDefault="00921AE8" w:rsidP="004B0C26">
            <w:pPr>
              <w:jc w:val="right"/>
              <w:rPr>
                <w:rFonts w:eastAsia="Times New Roman"/>
                <w:b/>
                <w:color w:val="000000"/>
                <w:sz w:val="18"/>
                <w:szCs w:val="18"/>
              </w:rPr>
            </w:pPr>
            <w:r w:rsidRPr="00605672">
              <w:rPr>
                <w:b/>
                <w:sz w:val="18"/>
                <w:szCs w:val="18"/>
              </w:rPr>
              <w:t>.82</w:t>
            </w:r>
          </w:p>
        </w:tc>
        <w:tc>
          <w:tcPr>
            <w:tcW w:w="573" w:type="dxa"/>
            <w:shd w:val="clear" w:color="auto" w:fill="auto"/>
            <w:noWrap/>
          </w:tcPr>
          <w:p w14:paraId="2778CEF0" w14:textId="77777777" w:rsidR="00921AE8" w:rsidRPr="00605672" w:rsidRDefault="00921AE8" w:rsidP="004B0C26">
            <w:pPr>
              <w:jc w:val="right"/>
              <w:rPr>
                <w:rFonts w:eastAsia="Times New Roman"/>
                <w:color w:val="000000"/>
                <w:sz w:val="18"/>
                <w:szCs w:val="18"/>
              </w:rPr>
            </w:pPr>
          </w:p>
        </w:tc>
        <w:tc>
          <w:tcPr>
            <w:tcW w:w="572" w:type="dxa"/>
            <w:shd w:val="clear" w:color="auto" w:fill="auto"/>
            <w:noWrap/>
          </w:tcPr>
          <w:p w14:paraId="60A79139" w14:textId="77777777" w:rsidR="00921AE8" w:rsidRPr="00605672" w:rsidRDefault="00921AE8" w:rsidP="004B0C26">
            <w:pPr>
              <w:rPr>
                <w:rFonts w:eastAsia="Times New Roman"/>
                <w:sz w:val="18"/>
                <w:szCs w:val="18"/>
              </w:rPr>
            </w:pPr>
          </w:p>
        </w:tc>
        <w:tc>
          <w:tcPr>
            <w:tcW w:w="573" w:type="dxa"/>
            <w:shd w:val="clear" w:color="auto" w:fill="auto"/>
            <w:noWrap/>
          </w:tcPr>
          <w:p w14:paraId="177B0EDA" w14:textId="77777777" w:rsidR="00921AE8" w:rsidRPr="00605672" w:rsidRDefault="00921AE8" w:rsidP="004B0C26">
            <w:pPr>
              <w:rPr>
                <w:rFonts w:eastAsia="Times New Roman"/>
                <w:sz w:val="18"/>
                <w:szCs w:val="18"/>
              </w:rPr>
            </w:pPr>
          </w:p>
        </w:tc>
        <w:tc>
          <w:tcPr>
            <w:tcW w:w="573" w:type="dxa"/>
            <w:shd w:val="clear" w:color="auto" w:fill="auto"/>
            <w:noWrap/>
          </w:tcPr>
          <w:p w14:paraId="66F57E2F" w14:textId="77777777" w:rsidR="00921AE8" w:rsidRPr="00605672" w:rsidRDefault="00921AE8" w:rsidP="004B0C26">
            <w:pPr>
              <w:rPr>
                <w:rFonts w:eastAsia="Times New Roman"/>
                <w:sz w:val="18"/>
                <w:szCs w:val="18"/>
              </w:rPr>
            </w:pPr>
          </w:p>
        </w:tc>
        <w:tc>
          <w:tcPr>
            <w:tcW w:w="573" w:type="dxa"/>
            <w:shd w:val="clear" w:color="auto" w:fill="auto"/>
            <w:noWrap/>
          </w:tcPr>
          <w:p w14:paraId="72F6CBBB" w14:textId="77777777" w:rsidR="00921AE8" w:rsidRPr="00605672" w:rsidRDefault="00921AE8" w:rsidP="004B0C26">
            <w:pPr>
              <w:rPr>
                <w:rFonts w:eastAsia="Times New Roman"/>
                <w:sz w:val="18"/>
                <w:szCs w:val="18"/>
              </w:rPr>
            </w:pPr>
          </w:p>
        </w:tc>
        <w:tc>
          <w:tcPr>
            <w:tcW w:w="572" w:type="dxa"/>
            <w:shd w:val="clear" w:color="auto" w:fill="auto"/>
            <w:noWrap/>
          </w:tcPr>
          <w:p w14:paraId="00F2AC0A" w14:textId="77777777" w:rsidR="00921AE8" w:rsidRPr="00605672" w:rsidRDefault="00921AE8" w:rsidP="004B0C26">
            <w:pPr>
              <w:rPr>
                <w:rFonts w:eastAsia="Times New Roman"/>
                <w:sz w:val="18"/>
                <w:szCs w:val="18"/>
              </w:rPr>
            </w:pPr>
          </w:p>
        </w:tc>
        <w:tc>
          <w:tcPr>
            <w:tcW w:w="573" w:type="dxa"/>
            <w:shd w:val="clear" w:color="auto" w:fill="auto"/>
            <w:noWrap/>
          </w:tcPr>
          <w:p w14:paraId="78BEACB5" w14:textId="77777777" w:rsidR="00921AE8" w:rsidRPr="00605672" w:rsidRDefault="00921AE8" w:rsidP="004B0C26">
            <w:pPr>
              <w:rPr>
                <w:rFonts w:eastAsia="Times New Roman"/>
                <w:sz w:val="18"/>
                <w:szCs w:val="18"/>
              </w:rPr>
            </w:pPr>
          </w:p>
        </w:tc>
        <w:tc>
          <w:tcPr>
            <w:tcW w:w="573" w:type="dxa"/>
            <w:shd w:val="clear" w:color="auto" w:fill="auto"/>
            <w:noWrap/>
          </w:tcPr>
          <w:p w14:paraId="45F49AFC" w14:textId="77777777" w:rsidR="00921AE8" w:rsidRPr="00605672" w:rsidRDefault="00921AE8" w:rsidP="004B0C26">
            <w:pPr>
              <w:rPr>
                <w:rFonts w:eastAsia="Times New Roman"/>
                <w:sz w:val="18"/>
                <w:szCs w:val="18"/>
              </w:rPr>
            </w:pPr>
          </w:p>
        </w:tc>
        <w:tc>
          <w:tcPr>
            <w:tcW w:w="573" w:type="dxa"/>
            <w:shd w:val="clear" w:color="auto" w:fill="auto"/>
            <w:noWrap/>
          </w:tcPr>
          <w:p w14:paraId="53EA84E5" w14:textId="77777777" w:rsidR="00921AE8" w:rsidRPr="00605672" w:rsidRDefault="00921AE8" w:rsidP="004B0C26">
            <w:pPr>
              <w:rPr>
                <w:rFonts w:eastAsia="Times New Roman"/>
                <w:sz w:val="18"/>
                <w:szCs w:val="18"/>
              </w:rPr>
            </w:pPr>
          </w:p>
        </w:tc>
        <w:tc>
          <w:tcPr>
            <w:tcW w:w="573" w:type="dxa"/>
            <w:shd w:val="clear" w:color="auto" w:fill="auto"/>
            <w:noWrap/>
          </w:tcPr>
          <w:p w14:paraId="66F92CBE" w14:textId="77777777" w:rsidR="00921AE8" w:rsidRPr="00605672" w:rsidRDefault="00921AE8" w:rsidP="004B0C26">
            <w:pPr>
              <w:rPr>
                <w:rFonts w:eastAsia="Times New Roman"/>
                <w:sz w:val="18"/>
                <w:szCs w:val="18"/>
              </w:rPr>
            </w:pPr>
          </w:p>
        </w:tc>
      </w:tr>
      <w:tr w:rsidR="0062648F" w:rsidRPr="00605672" w14:paraId="4BAAB824" w14:textId="77777777" w:rsidTr="0062648F">
        <w:trPr>
          <w:trHeight w:val="227"/>
          <w:jc w:val="center"/>
        </w:trPr>
        <w:tc>
          <w:tcPr>
            <w:tcW w:w="4518" w:type="dxa"/>
            <w:shd w:val="clear" w:color="auto" w:fill="auto"/>
            <w:noWrap/>
          </w:tcPr>
          <w:p w14:paraId="3EA48426" w14:textId="412246BF" w:rsidR="00921AE8" w:rsidRPr="00605672" w:rsidRDefault="00921AE8" w:rsidP="00FC679E">
            <w:pPr>
              <w:rPr>
                <w:rFonts w:eastAsia="Times New Roman"/>
                <w:color w:val="000000"/>
                <w:sz w:val="18"/>
                <w:szCs w:val="18"/>
              </w:rPr>
            </w:pPr>
            <w:r w:rsidRPr="00605672">
              <w:rPr>
                <w:rFonts w:eastAsia="Times New Roman"/>
                <w:color w:val="000000"/>
                <w:sz w:val="18"/>
                <w:szCs w:val="18"/>
              </w:rPr>
              <w:t xml:space="preserve">Type of </w:t>
            </w:r>
            <w:r w:rsidR="00FC679E">
              <w:rPr>
                <w:rFonts w:eastAsia="Times New Roman"/>
                <w:color w:val="000000"/>
                <w:sz w:val="18"/>
                <w:szCs w:val="18"/>
              </w:rPr>
              <w:t>a</w:t>
            </w:r>
            <w:r w:rsidRPr="00605672">
              <w:rPr>
                <w:rFonts w:eastAsia="Times New Roman"/>
                <w:color w:val="000000"/>
                <w:sz w:val="18"/>
                <w:szCs w:val="18"/>
              </w:rPr>
              <w:t>greement</w:t>
            </w:r>
          </w:p>
        </w:tc>
        <w:tc>
          <w:tcPr>
            <w:tcW w:w="572" w:type="dxa"/>
            <w:shd w:val="clear" w:color="auto" w:fill="auto"/>
            <w:noWrap/>
          </w:tcPr>
          <w:p w14:paraId="486E6BDD" w14:textId="77777777" w:rsidR="00921AE8" w:rsidRPr="00605672" w:rsidRDefault="00921AE8" w:rsidP="004B0C26">
            <w:pPr>
              <w:jc w:val="right"/>
              <w:rPr>
                <w:rFonts w:eastAsia="Times New Roman"/>
                <w:color w:val="000000"/>
                <w:sz w:val="18"/>
                <w:szCs w:val="18"/>
              </w:rPr>
            </w:pPr>
            <w:r w:rsidRPr="00605672">
              <w:rPr>
                <w:sz w:val="18"/>
                <w:szCs w:val="18"/>
              </w:rPr>
              <w:t>-.20</w:t>
            </w:r>
          </w:p>
        </w:tc>
        <w:tc>
          <w:tcPr>
            <w:tcW w:w="573" w:type="dxa"/>
            <w:shd w:val="clear" w:color="auto" w:fill="auto"/>
            <w:noWrap/>
          </w:tcPr>
          <w:p w14:paraId="4F2CDF24" w14:textId="77777777" w:rsidR="00921AE8" w:rsidRPr="00605672" w:rsidRDefault="00921AE8" w:rsidP="004B0C26">
            <w:pPr>
              <w:jc w:val="right"/>
              <w:rPr>
                <w:rFonts w:eastAsia="Times New Roman"/>
                <w:color w:val="000000"/>
                <w:sz w:val="18"/>
                <w:szCs w:val="18"/>
              </w:rPr>
            </w:pPr>
            <w:r w:rsidRPr="00605672">
              <w:rPr>
                <w:sz w:val="18"/>
                <w:szCs w:val="18"/>
              </w:rPr>
              <w:t>.11</w:t>
            </w:r>
          </w:p>
        </w:tc>
        <w:tc>
          <w:tcPr>
            <w:tcW w:w="573" w:type="dxa"/>
            <w:shd w:val="clear" w:color="auto" w:fill="auto"/>
            <w:noWrap/>
          </w:tcPr>
          <w:p w14:paraId="07794A76" w14:textId="77777777" w:rsidR="00921AE8" w:rsidRPr="00605672" w:rsidRDefault="00921AE8" w:rsidP="004B0C26">
            <w:pPr>
              <w:jc w:val="right"/>
              <w:rPr>
                <w:rFonts w:eastAsia="Times New Roman"/>
                <w:color w:val="000000"/>
                <w:sz w:val="18"/>
                <w:szCs w:val="18"/>
              </w:rPr>
            </w:pPr>
            <w:r w:rsidRPr="00605672">
              <w:rPr>
                <w:sz w:val="18"/>
                <w:szCs w:val="18"/>
              </w:rPr>
              <w:t>.19</w:t>
            </w:r>
          </w:p>
        </w:tc>
        <w:tc>
          <w:tcPr>
            <w:tcW w:w="573" w:type="dxa"/>
            <w:shd w:val="clear" w:color="auto" w:fill="auto"/>
            <w:noWrap/>
          </w:tcPr>
          <w:p w14:paraId="532A574D" w14:textId="77777777" w:rsidR="00921AE8" w:rsidRPr="00605672" w:rsidRDefault="00921AE8" w:rsidP="004B0C26">
            <w:pPr>
              <w:jc w:val="right"/>
              <w:rPr>
                <w:rFonts w:eastAsia="Times New Roman"/>
                <w:color w:val="000000"/>
                <w:sz w:val="18"/>
                <w:szCs w:val="18"/>
              </w:rPr>
            </w:pPr>
            <w:r w:rsidRPr="00605672">
              <w:rPr>
                <w:sz w:val="18"/>
                <w:szCs w:val="18"/>
              </w:rPr>
              <w:t>.33</w:t>
            </w:r>
          </w:p>
        </w:tc>
        <w:tc>
          <w:tcPr>
            <w:tcW w:w="572" w:type="dxa"/>
            <w:shd w:val="clear" w:color="auto" w:fill="auto"/>
            <w:noWrap/>
          </w:tcPr>
          <w:p w14:paraId="1A63F4EC" w14:textId="77777777" w:rsidR="00921AE8" w:rsidRPr="00605672" w:rsidRDefault="00921AE8" w:rsidP="004B0C26">
            <w:pPr>
              <w:jc w:val="right"/>
              <w:rPr>
                <w:rFonts w:eastAsia="Times New Roman"/>
                <w:color w:val="000000"/>
                <w:sz w:val="18"/>
                <w:szCs w:val="18"/>
              </w:rPr>
            </w:pPr>
            <w:r w:rsidRPr="00605672">
              <w:rPr>
                <w:sz w:val="18"/>
                <w:szCs w:val="18"/>
              </w:rPr>
              <w:t>.19</w:t>
            </w:r>
          </w:p>
        </w:tc>
        <w:tc>
          <w:tcPr>
            <w:tcW w:w="573" w:type="dxa"/>
            <w:shd w:val="clear" w:color="auto" w:fill="auto"/>
            <w:noWrap/>
          </w:tcPr>
          <w:p w14:paraId="07B7D44F" w14:textId="77777777" w:rsidR="00921AE8" w:rsidRPr="00605672" w:rsidRDefault="00921AE8" w:rsidP="004B0C26">
            <w:pPr>
              <w:jc w:val="right"/>
              <w:rPr>
                <w:rFonts w:eastAsia="Times New Roman"/>
                <w:color w:val="000000"/>
                <w:sz w:val="18"/>
                <w:szCs w:val="18"/>
              </w:rPr>
            </w:pPr>
            <w:r w:rsidRPr="00605672">
              <w:rPr>
                <w:sz w:val="18"/>
                <w:szCs w:val="18"/>
              </w:rPr>
              <w:t>.24</w:t>
            </w:r>
          </w:p>
        </w:tc>
        <w:tc>
          <w:tcPr>
            <w:tcW w:w="573" w:type="dxa"/>
            <w:shd w:val="clear" w:color="auto" w:fill="auto"/>
            <w:noWrap/>
          </w:tcPr>
          <w:p w14:paraId="3258949F" w14:textId="77777777" w:rsidR="00921AE8" w:rsidRPr="00605672" w:rsidRDefault="00921AE8" w:rsidP="004B0C26">
            <w:pPr>
              <w:jc w:val="right"/>
              <w:rPr>
                <w:rFonts w:eastAsia="Times New Roman"/>
                <w:color w:val="000000"/>
                <w:sz w:val="18"/>
                <w:szCs w:val="18"/>
              </w:rPr>
            </w:pPr>
            <w:r w:rsidRPr="00605672">
              <w:rPr>
                <w:sz w:val="18"/>
                <w:szCs w:val="18"/>
              </w:rPr>
              <w:t>.02</w:t>
            </w:r>
          </w:p>
        </w:tc>
        <w:tc>
          <w:tcPr>
            <w:tcW w:w="573" w:type="dxa"/>
            <w:shd w:val="clear" w:color="auto" w:fill="auto"/>
            <w:noWrap/>
          </w:tcPr>
          <w:p w14:paraId="0B4A5AE7" w14:textId="77777777" w:rsidR="00921AE8" w:rsidRPr="00605672" w:rsidRDefault="00921AE8" w:rsidP="004B0C26">
            <w:pPr>
              <w:jc w:val="right"/>
              <w:rPr>
                <w:rFonts w:eastAsia="Times New Roman"/>
                <w:color w:val="000000"/>
                <w:sz w:val="18"/>
                <w:szCs w:val="18"/>
              </w:rPr>
            </w:pPr>
            <w:r w:rsidRPr="00605672">
              <w:rPr>
                <w:sz w:val="18"/>
                <w:szCs w:val="18"/>
              </w:rPr>
              <w:t>-</w:t>
            </w:r>
          </w:p>
        </w:tc>
        <w:tc>
          <w:tcPr>
            <w:tcW w:w="572" w:type="dxa"/>
            <w:shd w:val="clear" w:color="auto" w:fill="auto"/>
            <w:noWrap/>
          </w:tcPr>
          <w:p w14:paraId="3E8DF9CE" w14:textId="77777777" w:rsidR="00921AE8" w:rsidRPr="00605672" w:rsidRDefault="00921AE8" w:rsidP="004B0C26">
            <w:pPr>
              <w:jc w:val="right"/>
              <w:rPr>
                <w:rFonts w:eastAsia="Times New Roman"/>
                <w:color w:val="000000"/>
                <w:sz w:val="18"/>
                <w:szCs w:val="18"/>
              </w:rPr>
            </w:pPr>
          </w:p>
        </w:tc>
        <w:tc>
          <w:tcPr>
            <w:tcW w:w="573" w:type="dxa"/>
            <w:shd w:val="clear" w:color="auto" w:fill="auto"/>
            <w:noWrap/>
          </w:tcPr>
          <w:p w14:paraId="67B51BEA" w14:textId="77777777" w:rsidR="00921AE8" w:rsidRPr="00605672" w:rsidRDefault="00921AE8" w:rsidP="004B0C26">
            <w:pPr>
              <w:rPr>
                <w:rFonts w:eastAsia="Times New Roman"/>
                <w:sz w:val="18"/>
                <w:szCs w:val="18"/>
              </w:rPr>
            </w:pPr>
          </w:p>
        </w:tc>
        <w:tc>
          <w:tcPr>
            <w:tcW w:w="573" w:type="dxa"/>
            <w:shd w:val="clear" w:color="auto" w:fill="auto"/>
            <w:noWrap/>
          </w:tcPr>
          <w:p w14:paraId="29FCD62C" w14:textId="77777777" w:rsidR="00921AE8" w:rsidRPr="00605672" w:rsidRDefault="00921AE8" w:rsidP="004B0C26">
            <w:pPr>
              <w:rPr>
                <w:rFonts w:eastAsia="Times New Roman"/>
                <w:sz w:val="18"/>
                <w:szCs w:val="18"/>
              </w:rPr>
            </w:pPr>
          </w:p>
        </w:tc>
        <w:tc>
          <w:tcPr>
            <w:tcW w:w="573" w:type="dxa"/>
            <w:shd w:val="clear" w:color="auto" w:fill="auto"/>
            <w:noWrap/>
          </w:tcPr>
          <w:p w14:paraId="63B11A9E" w14:textId="77777777" w:rsidR="00921AE8" w:rsidRPr="00605672" w:rsidRDefault="00921AE8" w:rsidP="004B0C26">
            <w:pPr>
              <w:rPr>
                <w:rFonts w:eastAsia="Times New Roman"/>
                <w:sz w:val="18"/>
                <w:szCs w:val="18"/>
              </w:rPr>
            </w:pPr>
          </w:p>
        </w:tc>
        <w:tc>
          <w:tcPr>
            <w:tcW w:w="572" w:type="dxa"/>
            <w:shd w:val="clear" w:color="auto" w:fill="auto"/>
            <w:noWrap/>
          </w:tcPr>
          <w:p w14:paraId="1C5707ED" w14:textId="77777777" w:rsidR="00921AE8" w:rsidRPr="00605672" w:rsidRDefault="00921AE8" w:rsidP="004B0C26">
            <w:pPr>
              <w:rPr>
                <w:rFonts w:eastAsia="Times New Roman"/>
                <w:sz w:val="18"/>
                <w:szCs w:val="18"/>
              </w:rPr>
            </w:pPr>
          </w:p>
        </w:tc>
        <w:tc>
          <w:tcPr>
            <w:tcW w:w="573" w:type="dxa"/>
            <w:shd w:val="clear" w:color="auto" w:fill="auto"/>
            <w:noWrap/>
          </w:tcPr>
          <w:p w14:paraId="51D7D17C" w14:textId="77777777" w:rsidR="00921AE8" w:rsidRPr="00605672" w:rsidRDefault="00921AE8" w:rsidP="004B0C26">
            <w:pPr>
              <w:rPr>
                <w:rFonts w:eastAsia="Times New Roman"/>
                <w:sz w:val="18"/>
                <w:szCs w:val="18"/>
              </w:rPr>
            </w:pPr>
          </w:p>
        </w:tc>
        <w:tc>
          <w:tcPr>
            <w:tcW w:w="573" w:type="dxa"/>
            <w:shd w:val="clear" w:color="auto" w:fill="auto"/>
            <w:noWrap/>
          </w:tcPr>
          <w:p w14:paraId="5F8C5956" w14:textId="77777777" w:rsidR="00921AE8" w:rsidRPr="00605672" w:rsidRDefault="00921AE8" w:rsidP="004B0C26">
            <w:pPr>
              <w:rPr>
                <w:rFonts w:eastAsia="Times New Roman"/>
                <w:sz w:val="18"/>
                <w:szCs w:val="18"/>
              </w:rPr>
            </w:pPr>
          </w:p>
        </w:tc>
        <w:tc>
          <w:tcPr>
            <w:tcW w:w="573" w:type="dxa"/>
            <w:shd w:val="clear" w:color="auto" w:fill="auto"/>
            <w:noWrap/>
          </w:tcPr>
          <w:p w14:paraId="264C2989" w14:textId="77777777" w:rsidR="00921AE8" w:rsidRPr="00605672" w:rsidRDefault="00921AE8" w:rsidP="004B0C26">
            <w:pPr>
              <w:rPr>
                <w:rFonts w:eastAsia="Times New Roman"/>
                <w:sz w:val="18"/>
                <w:szCs w:val="18"/>
              </w:rPr>
            </w:pPr>
          </w:p>
        </w:tc>
        <w:tc>
          <w:tcPr>
            <w:tcW w:w="573" w:type="dxa"/>
            <w:shd w:val="clear" w:color="auto" w:fill="auto"/>
            <w:noWrap/>
          </w:tcPr>
          <w:p w14:paraId="52E238D2" w14:textId="77777777" w:rsidR="00921AE8" w:rsidRPr="00605672" w:rsidRDefault="00921AE8" w:rsidP="004B0C26">
            <w:pPr>
              <w:rPr>
                <w:rFonts w:eastAsia="Times New Roman"/>
                <w:sz w:val="18"/>
                <w:szCs w:val="18"/>
              </w:rPr>
            </w:pPr>
          </w:p>
        </w:tc>
      </w:tr>
      <w:tr w:rsidR="0062648F" w:rsidRPr="00605672" w14:paraId="4D5CFEB7" w14:textId="77777777" w:rsidTr="0062648F">
        <w:trPr>
          <w:trHeight w:val="227"/>
          <w:jc w:val="center"/>
        </w:trPr>
        <w:tc>
          <w:tcPr>
            <w:tcW w:w="4518" w:type="dxa"/>
            <w:shd w:val="clear" w:color="auto" w:fill="auto"/>
            <w:noWrap/>
          </w:tcPr>
          <w:p w14:paraId="6F670D79" w14:textId="5B00F10A" w:rsidR="00921AE8" w:rsidRPr="00605672" w:rsidRDefault="00921AE8" w:rsidP="00FC679E">
            <w:pPr>
              <w:rPr>
                <w:rFonts w:eastAsia="Times New Roman"/>
                <w:color w:val="000000"/>
                <w:sz w:val="18"/>
                <w:szCs w:val="18"/>
              </w:rPr>
            </w:pPr>
            <w:r w:rsidRPr="00605672">
              <w:rPr>
                <w:rFonts w:eastAsia="Times New Roman"/>
                <w:color w:val="000000"/>
                <w:sz w:val="18"/>
                <w:szCs w:val="18"/>
              </w:rPr>
              <w:t xml:space="preserve">Concentration of </w:t>
            </w:r>
            <w:r w:rsidR="00FC679E">
              <w:rPr>
                <w:rFonts w:eastAsia="Times New Roman"/>
                <w:color w:val="000000"/>
                <w:sz w:val="18"/>
                <w:szCs w:val="18"/>
              </w:rPr>
              <w:t>s</w:t>
            </w:r>
            <w:r w:rsidR="00B0066E" w:rsidRPr="00605672">
              <w:rPr>
                <w:rFonts w:eastAsia="Times New Roman"/>
                <w:color w:val="000000"/>
                <w:sz w:val="18"/>
                <w:szCs w:val="18"/>
              </w:rPr>
              <w:t>ales</w:t>
            </w:r>
          </w:p>
        </w:tc>
        <w:tc>
          <w:tcPr>
            <w:tcW w:w="572" w:type="dxa"/>
            <w:shd w:val="clear" w:color="auto" w:fill="auto"/>
            <w:noWrap/>
          </w:tcPr>
          <w:p w14:paraId="5F7CD756" w14:textId="77777777" w:rsidR="00921AE8" w:rsidRPr="00605672" w:rsidRDefault="00921AE8" w:rsidP="004B0C26">
            <w:pPr>
              <w:jc w:val="right"/>
              <w:rPr>
                <w:rFonts w:eastAsia="Times New Roman"/>
                <w:color w:val="000000"/>
                <w:sz w:val="18"/>
                <w:szCs w:val="18"/>
              </w:rPr>
            </w:pPr>
            <w:r w:rsidRPr="00605672">
              <w:rPr>
                <w:sz w:val="18"/>
                <w:szCs w:val="18"/>
              </w:rPr>
              <w:t>.09</w:t>
            </w:r>
          </w:p>
        </w:tc>
        <w:tc>
          <w:tcPr>
            <w:tcW w:w="573" w:type="dxa"/>
            <w:shd w:val="clear" w:color="auto" w:fill="auto"/>
            <w:noWrap/>
          </w:tcPr>
          <w:p w14:paraId="535DEC29" w14:textId="77777777" w:rsidR="00921AE8" w:rsidRPr="00605672" w:rsidRDefault="00921AE8" w:rsidP="004B0C26">
            <w:pPr>
              <w:jc w:val="right"/>
              <w:rPr>
                <w:rFonts w:eastAsia="Times New Roman"/>
                <w:color w:val="000000"/>
                <w:sz w:val="18"/>
                <w:szCs w:val="18"/>
              </w:rPr>
            </w:pPr>
            <w:r w:rsidRPr="00605672">
              <w:rPr>
                <w:sz w:val="18"/>
                <w:szCs w:val="18"/>
              </w:rPr>
              <w:t>-.04</w:t>
            </w:r>
          </w:p>
        </w:tc>
        <w:tc>
          <w:tcPr>
            <w:tcW w:w="573" w:type="dxa"/>
            <w:shd w:val="clear" w:color="auto" w:fill="auto"/>
            <w:noWrap/>
          </w:tcPr>
          <w:p w14:paraId="5539CCA4" w14:textId="77777777" w:rsidR="00921AE8" w:rsidRPr="00605672" w:rsidRDefault="00921AE8" w:rsidP="004B0C26">
            <w:pPr>
              <w:jc w:val="right"/>
              <w:rPr>
                <w:rFonts w:eastAsia="Times New Roman"/>
                <w:color w:val="000000"/>
                <w:sz w:val="18"/>
                <w:szCs w:val="18"/>
              </w:rPr>
            </w:pPr>
            <w:r w:rsidRPr="00605672">
              <w:rPr>
                <w:sz w:val="18"/>
                <w:szCs w:val="18"/>
              </w:rPr>
              <w:t>-.11</w:t>
            </w:r>
          </w:p>
        </w:tc>
        <w:tc>
          <w:tcPr>
            <w:tcW w:w="573" w:type="dxa"/>
            <w:shd w:val="clear" w:color="auto" w:fill="auto"/>
            <w:noWrap/>
          </w:tcPr>
          <w:p w14:paraId="256C9110" w14:textId="77777777" w:rsidR="00921AE8" w:rsidRPr="00605672" w:rsidRDefault="00921AE8" w:rsidP="004B0C26">
            <w:pPr>
              <w:jc w:val="right"/>
              <w:rPr>
                <w:rFonts w:eastAsia="Times New Roman"/>
                <w:color w:val="000000"/>
                <w:sz w:val="18"/>
                <w:szCs w:val="18"/>
              </w:rPr>
            </w:pPr>
            <w:r w:rsidRPr="00605672">
              <w:rPr>
                <w:sz w:val="18"/>
                <w:szCs w:val="18"/>
              </w:rPr>
              <w:t>.06</w:t>
            </w:r>
          </w:p>
        </w:tc>
        <w:tc>
          <w:tcPr>
            <w:tcW w:w="572" w:type="dxa"/>
            <w:shd w:val="clear" w:color="auto" w:fill="auto"/>
            <w:noWrap/>
          </w:tcPr>
          <w:p w14:paraId="5105D25A" w14:textId="77777777" w:rsidR="00921AE8" w:rsidRPr="00605672" w:rsidRDefault="00921AE8" w:rsidP="004B0C26">
            <w:pPr>
              <w:jc w:val="right"/>
              <w:rPr>
                <w:rFonts w:eastAsia="Times New Roman"/>
                <w:color w:val="000000"/>
                <w:sz w:val="18"/>
                <w:szCs w:val="18"/>
              </w:rPr>
            </w:pPr>
            <w:r w:rsidRPr="00605672">
              <w:rPr>
                <w:sz w:val="18"/>
                <w:szCs w:val="18"/>
              </w:rPr>
              <w:t>-.11</w:t>
            </w:r>
          </w:p>
        </w:tc>
        <w:tc>
          <w:tcPr>
            <w:tcW w:w="573" w:type="dxa"/>
            <w:shd w:val="clear" w:color="auto" w:fill="auto"/>
            <w:noWrap/>
          </w:tcPr>
          <w:p w14:paraId="6763A1BB" w14:textId="77777777" w:rsidR="00921AE8" w:rsidRPr="00605672" w:rsidRDefault="00921AE8" w:rsidP="004B0C26">
            <w:pPr>
              <w:jc w:val="right"/>
              <w:rPr>
                <w:rFonts w:eastAsia="Times New Roman"/>
                <w:color w:val="000000"/>
                <w:sz w:val="18"/>
                <w:szCs w:val="18"/>
              </w:rPr>
            </w:pPr>
            <w:r w:rsidRPr="00605672">
              <w:rPr>
                <w:sz w:val="18"/>
                <w:szCs w:val="18"/>
              </w:rPr>
              <w:t>-.10</w:t>
            </w:r>
          </w:p>
        </w:tc>
        <w:tc>
          <w:tcPr>
            <w:tcW w:w="573" w:type="dxa"/>
            <w:shd w:val="clear" w:color="auto" w:fill="auto"/>
            <w:noWrap/>
          </w:tcPr>
          <w:p w14:paraId="7440775F" w14:textId="77777777" w:rsidR="00921AE8" w:rsidRPr="00605672" w:rsidRDefault="00921AE8" w:rsidP="004B0C26">
            <w:pPr>
              <w:jc w:val="right"/>
              <w:rPr>
                <w:rFonts w:eastAsia="Times New Roman"/>
                <w:color w:val="000000"/>
                <w:sz w:val="18"/>
                <w:szCs w:val="18"/>
              </w:rPr>
            </w:pPr>
            <w:r w:rsidRPr="00605672">
              <w:rPr>
                <w:sz w:val="18"/>
                <w:szCs w:val="18"/>
              </w:rPr>
              <w:t>.12</w:t>
            </w:r>
          </w:p>
        </w:tc>
        <w:tc>
          <w:tcPr>
            <w:tcW w:w="573" w:type="dxa"/>
            <w:shd w:val="clear" w:color="auto" w:fill="auto"/>
            <w:noWrap/>
          </w:tcPr>
          <w:p w14:paraId="68305BB0" w14:textId="77777777" w:rsidR="00921AE8" w:rsidRPr="00605672" w:rsidRDefault="00921AE8" w:rsidP="004B0C26">
            <w:pPr>
              <w:jc w:val="right"/>
              <w:rPr>
                <w:rFonts w:eastAsia="Times New Roman"/>
                <w:color w:val="000000"/>
                <w:sz w:val="18"/>
                <w:szCs w:val="18"/>
              </w:rPr>
            </w:pPr>
            <w:r w:rsidRPr="00605672">
              <w:rPr>
                <w:sz w:val="18"/>
                <w:szCs w:val="18"/>
              </w:rPr>
              <w:t>.18</w:t>
            </w:r>
          </w:p>
        </w:tc>
        <w:tc>
          <w:tcPr>
            <w:tcW w:w="572" w:type="dxa"/>
            <w:shd w:val="clear" w:color="auto" w:fill="auto"/>
            <w:noWrap/>
          </w:tcPr>
          <w:p w14:paraId="223A6999" w14:textId="77777777" w:rsidR="00921AE8" w:rsidRPr="00605672" w:rsidRDefault="00921AE8" w:rsidP="004B0C26">
            <w:pPr>
              <w:jc w:val="right"/>
              <w:rPr>
                <w:rFonts w:eastAsia="Times New Roman"/>
                <w:color w:val="000000"/>
                <w:sz w:val="18"/>
                <w:szCs w:val="18"/>
              </w:rPr>
            </w:pPr>
            <w:r w:rsidRPr="00605672">
              <w:rPr>
                <w:sz w:val="18"/>
                <w:szCs w:val="18"/>
              </w:rPr>
              <w:t>-</w:t>
            </w:r>
          </w:p>
        </w:tc>
        <w:tc>
          <w:tcPr>
            <w:tcW w:w="573" w:type="dxa"/>
            <w:shd w:val="clear" w:color="auto" w:fill="auto"/>
            <w:noWrap/>
          </w:tcPr>
          <w:p w14:paraId="35F1D352" w14:textId="77777777" w:rsidR="00921AE8" w:rsidRPr="00605672" w:rsidRDefault="00921AE8" w:rsidP="004B0C26">
            <w:pPr>
              <w:jc w:val="right"/>
              <w:rPr>
                <w:rFonts w:eastAsia="Times New Roman"/>
                <w:color w:val="000000"/>
                <w:sz w:val="18"/>
                <w:szCs w:val="18"/>
              </w:rPr>
            </w:pPr>
          </w:p>
        </w:tc>
        <w:tc>
          <w:tcPr>
            <w:tcW w:w="573" w:type="dxa"/>
            <w:shd w:val="clear" w:color="auto" w:fill="auto"/>
            <w:noWrap/>
          </w:tcPr>
          <w:p w14:paraId="1944C83C" w14:textId="77777777" w:rsidR="00921AE8" w:rsidRPr="00605672" w:rsidRDefault="00921AE8" w:rsidP="004B0C26">
            <w:pPr>
              <w:rPr>
                <w:rFonts w:eastAsia="Times New Roman"/>
                <w:sz w:val="18"/>
                <w:szCs w:val="18"/>
              </w:rPr>
            </w:pPr>
          </w:p>
        </w:tc>
        <w:tc>
          <w:tcPr>
            <w:tcW w:w="573" w:type="dxa"/>
            <w:shd w:val="clear" w:color="auto" w:fill="auto"/>
            <w:noWrap/>
          </w:tcPr>
          <w:p w14:paraId="7EC2584C" w14:textId="77777777" w:rsidR="00921AE8" w:rsidRPr="00605672" w:rsidRDefault="00921AE8" w:rsidP="004B0C26">
            <w:pPr>
              <w:rPr>
                <w:rFonts w:eastAsia="Times New Roman"/>
                <w:sz w:val="18"/>
                <w:szCs w:val="18"/>
              </w:rPr>
            </w:pPr>
          </w:p>
        </w:tc>
        <w:tc>
          <w:tcPr>
            <w:tcW w:w="572" w:type="dxa"/>
            <w:shd w:val="clear" w:color="auto" w:fill="auto"/>
            <w:noWrap/>
          </w:tcPr>
          <w:p w14:paraId="00C245C9" w14:textId="77777777" w:rsidR="00921AE8" w:rsidRPr="00605672" w:rsidRDefault="00921AE8" w:rsidP="004B0C26">
            <w:pPr>
              <w:rPr>
                <w:rFonts w:eastAsia="Times New Roman"/>
                <w:sz w:val="18"/>
                <w:szCs w:val="18"/>
              </w:rPr>
            </w:pPr>
          </w:p>
        </w:tc>
        <w:tc>
          <w:tcPr>
            <w:tcW w:w="573" w:type="dxa"/>
            <w:shd w:val="clear" w:color="auto" w:fill="auto"/>
            <w:noWrap/>
          </w:tcPr>
          <w:p w14:paraId="37FBF255" w14:textId="77777777" w:rsidR="00921AE8" w:rsidRPr="00605672" w:rsidRDefault="00921AE8" w:rsidP="004B0C26">
            <w:pPr>
              <w:rPr>
                <w:rFonts w:eastAsia="Times New Roman"/>
                <w:sz w:val="18"/>
                <w:szCs w:val="18"/>
              </w:rPr>
            </w:pPr>
          </w:p>
        </w:tc>
        <w:tc>
          <w:tcPr>
            <w:tcW w:w="573" w:type="dxa"/>
            <w:shd w:val="clear" w:color="auto" w:fill="auto"/>
            <w:noWrap/>
          </w:tcPr>
          <w:p w14:paraId="578C7734" w14:textId="77777777" w:rsidR="00921AE8" w:rsidRPr="00605672" w:rsidRDefault="00921AE8" w:rsidP="004B0C26">
            <w:pPr>
              <w:rPr>
                <w:rFonts w:eastAsia="Times New Roman"/>
                <w:sz w:val="18"/>
                <w:szCs w:val="18"/>
              </w:rPr>
            </w:pPr>
          </w:p>
        </w:tc>
        <w:tc>
          <w:tcPr>
            <w:tcW w:w="573" w:type="dxa"/>
            <w:shd w:val="clear" w:color="auto" w:fill="auto"/>
            <w:noWrap/>
          </w:tcPr>
          <w:p w14:paraId="42C5E067" w14:textId="77777777" w:rsidR="00921AE8" w:rsidRPr="00605672" w:rsidRDefault="00921AE8" w:rsidP="004B0C26">
            <w:pPr>
              <w:rPr>
                <w:rFonts w:eastAsia="Times New Roman"/>
                <w:sz w:val="18"/>
                <w:szCs w:val="18"/>
              </w:rPr>
            </w:pPr>
          </w:p>
        </w:tc>
        <w:tc>
          <w:tcPr>
            <w:tcW w:w="573" w:type="dxa"/>
            <w:shd w:val="clear" w:color="auto" w:fill="auto"/>
            <w:noWrap/>
          </w:tcPr>
          <w:p w14:paraId="3C3EB971" w14:textId="77777777" w:rsidR="00921AE8" w:rsidRPr="00605672" w:rsidRDefault="00921AE8" w:rsidP="004B0C26">
            <w:pPr>
              <w:rPr>
                <w:rFonts w:eastAsia="Times New Roman"/>
                <w:sz w:val="18"/>
                <w:szCs w:val="18"/>
              </w:rPr>
            </w:pPr>
          </w:p>
        </w:tc>
      </w:tr>
      <w:tr w:rsidR="0062648F" w:rsidRPr="00605672" w14:paraId="36405B44" w14:textId="77777777" w:rsidTr="0062648F">
        <w:trPr>
          <w:trHeight w:val="227"/>
          <w:jc w:val="center"/>
        </w:trPr>
        <w:tc>
          <w:tcPr>
            <w:tcW w:w="4518" w:type="dxa"/>
            <w:shd w:val="clear" w:color="auto" w:fill="auto"/>
            <w:noWrap/>
          </w:tcPr>
          <w:p w14:paraId="03A48415" w14:textId="4E2BFCCD" w:rsidR="00921AE8" w:rsidRPr="00605672" w:rsidRDefault="00921AE8" w:rsidP="00FC679E">
            <w:pPr>
              <w:rPr>
                <w:rFonts w:eastAsia="Times New Roman"/>
                <w:color w:val="000000"/>
                <w:sz w:val="18"/>
                <w:szCs w:val="18"/>
              </w:rPr>
            </w:pPr>
            <w:r w:rsidRPr="00605672">
              <w:rPr>
                <w:rFonts w:eastAsia="Times New Roman"/>
                <w:color w:val="000000"/>
                <w:sz w:val="18"/>
                <w:szCs w:val="18"/>
              </w:rPr>
              <w:t xml:space="preserve">Supplier </w:t>
            </w:r>
            <w:r w:rsidR="00FC679E">
              <w:rPr>
                <w:rFonts w:eastAsia="Times New Roman"/>
                <w:color w:val="000000"/>
                <w:sz w:val="18"/>
                <w:szCs w:val="18"/>
              </w:rPr>
              <w:t>r</w:t>
            </w:r>
            <w:r w:rsidR="00B0066E" w:rsidRPr="00605672">
              <w:rPr>
                <w:rFonts w:eastAsia="Times New Roman"/>
                <w:color w:val="000000"/>
                <w:sz w:val="18"/>
                <w:szCs w:val="18"/>
              </w:rPr>
              <w:t>eplaceability</w:t>
            </w:r>
          </w:p>
        </w:tc>
        <w:tc>
          <w:tcPr>
            <w:tcW w:w="572" w:type="dxa"/>
            <w:shd w:val="clear" w:color="auto" w:fill="auto"/>
            <w:noWrap/>
          </w:tcPr>
          <w:p w14:paraId="596BC5AF" w14:textId="77777777" w:rsidR="00921AE8" w:rsidRPr="00605672" w:rsidRDefault="00921AE8" w:rsidP="004B0C26">
            <w:pPr>
              <w:jc w:val="right"/>
              <w:rPr>
                <w:rFonts w:eastAsia="Times New Roman"/>
                <w:color w:val="000000"/>
                <w:sz w:val="18"/>
                <w:szCs w:val="18"/>
              </w:rPr>
            </w:pPr>
            <w:r w:rsidRPr="00605672">
              <w:rPr>
                <w:sz w:val="18"/>
                <w:szCs w:val="18"/>
              </w:rPr>
              <w:t>-.07</w:t>
            </w:r>
          </w:p>
        </w:tc>
        <w:tc>
          <w:tcPr>
            <w:tcW w:w="573" w:type="dxa"/>
            <w:shd w:val="clear" w:color="auto" w:fill="auto"/>
            <w:noWrap/>
          </w:tcPr>
          <w:p w14:paraId="168BC349" w14:textId="77777777" w:rsidR="00921AE8" w:rsidRPr="00605672" w:rsidRDefault="00921AE8" w:rsidP="004B0C26">
            <w:pPr>
              <w:jc w:val="right"/>
              <w:rPr>
                <w:rFonts w:eastAsia="Times New Roman"/>
                <w:color w:val="000000"/>
                <w:sz w:val="18"/>
                <w:szCs w:val="18"/>
              </w:rPr>
            </w:pPr>
            <w:r w:rsidRPr="00605672">
              <w:rPr>
                <w:sz w:val="18"/>
                <w:szCs w:val="18"/>
              </w:rPr>
              <w:t>.12</w:t>
            </w:r>
          </w:p>
        </w:tc>
        <w:tc>
          <w:tcPr>
            <w:tcW w:w="573" w:type="dxa"/>
            <w:shd w:val="clear" w:color="auto" w:fill="auto"/>
            <w:noWrap/>
          </w:tcPr>
          <w:p w14:paraId="0ACF92E7" w14:textId="77777777" w:rsidR="00921AE8" w:rsidRPr="00605672" w:rsidRDefault="00921AE8" w:rsidP="004B0C26">
            <w:pPr>
              <w:jc w:val="right"/>
              <w:rPr>
                <w:rFonts w:eastAsia="Times New Roman"/>
                <w:color w:val="000000"/>
                <w:sz w:val="18"/>
                <w:szCs w:val="18"/>
              </w:rPr>
            </w:pPr>
            <w:r w:rsidRPr="00605672">
              <w:rPr>
                <w:sz w:val="18"/>
                <w:szCs w:val="18"/>
              </w:rPr>
              <w:t>-.01</w:t>
            </w:r>
          </w:p>
        </w:tc>
        <w:tc>
          <w:tcPr>
            <w:tcW w:w="573" w:type="dxa"/>
            <w:shd w:val="clear" w:color="auto" w:fill="auto"/>
            <w:noWrap/>
          </w:tcPr>
          <w:p w14:paraId="5843510D" w14:textId="77777777" w:rsidR="00921AE8" w:rsidRPr="00605672" w:rsidRDefault="00921AE8" w:rsidP="004B0C26">
            <w:pPr>
              <w:jc w:val="right"/>
              <w:rPr>
                <w:rFonts w:eastAsia="Times New Roman"/>
                <w:color w:val="000000"/>
                <w:sz w:val="18"/>
                <w:szCs w:val="18"/>
              </w:rPr>
            </w:pPr>
            <w:r w:rsidRPr="00605672">
              <w:rPr>
                <w:sz w:val="18"/>
                <w:szCs w:val="18"/>
              </w:rPr>
              <w:t>.13</w:t>
            </w:r>
          </w:p>
        </w:tc>
        <w:tc>
          <w:tcPr>
            <w:tcW w:w="572" w:type="dxa"/>
            <w:shd w:val="clear" w:color="auto" w:fill="auto"/>
            <w:noWrap/>
          </w:tcPr>
          <w:p w14:paraId="29895536" w14:textId="77777777" w:rsidR="00921AE8" w:rsidRPr="00605672" w:rsidRDefault="00921AE8" w:rsidP="004B0C26">
            <w:pPr>
              <w:jc w:val="right"/>
              <w:rPr>
                <w:rFonts w:eastAsia="Times New Roman"/>
                <w:color w:val="000000"/>
                <w:sz w:val="18"/>
                <w:szCs w:val="18"/>
              </w:rPr>
            </w:pPr>
            <w:r w:rsidRPr="00605672">
              <w:rPr>
                <w:sz w:val="18"/>
                <w:szCs w:val="18"/>
              </w:rPr>
              <w:t>-.01</w:t>
            </w:r>
          </w:p>
        </w:tc>
        <w:tc>
          <w:tcPr>
            <w:tcW w:w="573" w:type="dxa"/>
            <w:shd w:val="clear" w:color="auto" w:fill="auto"/>
            <w:noWrap/>
          </w:tcPr>
          <w:p w14:paraId="1496CB44" w14:textId="77777777" w:rsidR="00921AE8" w:rsidRPr="00605672" w:rsidRDefault="00921AE8" w:rsidP="004B0C26">
            <w:pPr>
              <w:jc w:val="right"/>
              <w:rPr>
                <w:rFonts w:eastAsia="Times New Roman"/>
                <w:color w:val="000000"/>
                <w:sz w:val="18"/>
                <w:szCs w:val="18"/>
              </w:rPr>
            </w:pPr>
            <w:r w:rsidRPr="00605672">
              <w:rPr>
                <w:sz w:val="18"/>
                <w:szCs w:val="18"/>
              </w:rPr>
              <w:t>.20</w:t>
            </w:r>
          </w:p>
        </w:tc>
        <w:tc>
          <w:tcPr>
            <w:tcW w:w="573" w:type="dxa"/>
            <w:shd w:val="clear" w:color="auto" w:fill="auto"/>
            <w:noWrap/>
          </w:tcPr>
          <w:p w14:paraId="7800B097" w14:textId="77777777" w:rsidR="00921AE8" w:rsidRPr="00605672" w:rsidRDefault="00921AE8" w:rsidP="004B0C26">
            <w:pPr>
              <w:jc w:val="right"/>
              <w:rPr>
                <w:rFonts w:eastAsia="Times New Roman"/>
                <w:color w:val="000000"/>
                <w:sz w:val="18"/>
                <w:szCs w:val="18"/>
              </w:rPr>
            </w:pPr>
            <w:r w:rsidRPr="00605672">
              <w:rPr>
                <w:sz w:val="18"/>
                <w:szCs w:val="18"/>
              </w:rPr>
              <w:t>-.07</w:t>
            </w:r>
          </w:p>
        </w:tc>
        <w:tc>
          <w:tcPr>
            <w:tcW w:w="573" w:type="dxa"/>
            <w:shd w:val="clear" w:color="auto" w:fill="auto"/>
            <w:noWrap/>
          </w:tcPr>
          <w:p w14:paraId="4D83763C" w14:textId="77777777" w:rsidR="00921AE8" w:rsidRPr="00605672" w:rsidRDefault="00921AE8" w:rsidP="004B0C26">
            <w:pPr>
              <w:jc w:val="right"/>
              <w:rPr>
                <w:rFonts w:eastAsia="Times New Roman"/>
                <w:color w:val="000000"/>
                <w:sz w:val="18"/>
                <w:szCs w:val="18"/>
              </w:rPr>
            </w:pPr>
            <w:r w:rsidRPr="00605672">
              <w:rPr>
                <w:sz w:val="18"/>
                <w:szCs w:val="18"/>
              </w:rPr>
              <w:t>.08</w:t>
            </w:r>
          </w:p>
        </w:tc>
        <w:tc>
          <w:tcPr>
            <w:tcW w:w="572" w:type="dxa"/>
            <w:shd w:val="clear" w:color="auto" w:fill="auto"/>
            <w:noWrap/>
          </w:tcPr>
          <w:p w14:paraId="475BAC7F" w14:textId="77777777" w:rsidR="00921AE8" w:rsidRPr="00605672" w:rsidRDefault="00921AE8" w:rsidP="004B0C26">
            <w:pPr>
              <w:jc w:val="right"/>
              <w:rPr>
                <w:rFonts w:eastAsia="Times New Roman"/>
                <w:color w:val="000000"/>
                <w:sz w:val="18"/>
                <w:szCs w:val="18"/>
              </w:rPr>
            </w:pPr>
            <w:r w:rsidRPr="00605672">
              <w:rPr>
                <w:sz w:val="18"/>
                <w:szCs w:val="18"/>
              </w:rPr>
              <w:t>.01</w:t>
            </w:r>
          </w:p>
        </w:tc>
        <w:tc>
          <w:tcPr>
            <w:tcW w:w="573" w:type="dxa"/>
            <w:shd w:val="clear" w:color="auto" w:fill="auto"/>
            <w:noWrap/>
          </w:tcPr>
          <w:p w14:paraId="22F54FAB" w14:textId="77777777" w:rsidR="00921AE8" w:rsidRPr="00605672" w:rsidRDefault="00921AE8" w:rsidP="004B0C26">
            <w:pPr>
              <w:jc w:val="right"/>
              <w:rPr>
                <w:rFonts w:eastAsia="Times New Roman"/>
                <w:color w:val="000000"/>
                <w:sz w:val="18"/>
                <w:szCs w:val="18"/>
              </w:rPr>
            </w:pPr>
            <w:r w:rsidRPr="00605672">
              <w:rPr>
                <w:sz w:val="18"/>
                <w:szCs w:val="18"/>
              </w:rPr>
              <w:t>-</w:t>
            </w:r>
          </w:p>
        </w:tc>
        <w:tc>
          <w:tcPr>
            <w:tcW w:w="573" w:type="dxa"/>
            <w:shd w:val="clear" w:color="auto" w:fill="auto"/>
            <w:noWrap/>
          </w:tcPr>
          <w:p w14:paraId="37FE0A32" w14:textId="77777777" w:rsidR="00921AE8" w:rsidRPr="00605672" w:rsidRDefault="00921AE8" w:rsidP="004B0C26">
            <w:pPr>
              <w:jc w:val="right"/>
              <w:rPr>
                <w:rFonts w:eastAsia="Times New Roman"/>
                <w:color w:val="000000"/>
                <w:sz w:val="18"/>
                <w:szCs w:val="18"/>
              </w:rPr>
            </w:pPr>
          </w:p>
        </w:tc>
        <w:tc>
          <w:tcPr>
            <w:tcW w:w="573" w:type="dxa"/>
            <w:shd w:val="clear" w:color="auto" w:fill="auto"/>
            <w:noWrap/>
          </w:tcPr>
          <w:p w14:paraId="27D9E70C" w14:textId="77777777" w:rsidR="00921AE8" w:rsidRPr="00605672" w:rsidRDefault="00921AE8" w:rsidP="004B0C26">
            <w:pPr>
              <w:rPr>
                <w:rFonts w:eastAsia="Times New Roman"/>
                <w:sz w:val="18"/>
                <w:szCs w:val="18"/>
              </w:rPr>
            </w:pPr>
          </w:p>
        </w:tc>
        <w:tc>
          <w:tcPr>
            <w:tcW w:w="572" w:type="dxa"/>
            <w:shd w:val="clear" w:color="auto" w:fill="auto"/>
            <w:noWrap/>
          </w:tcPr>
          <w:p w14:paraId="6D818AC1" w14:textId="77777777" w:rsidR="00921AE8" w:rsidRPr="00605672" w:rsidRDefault="00921AE8" w:rsidP="004B0C26">
            <w:pPr>
              <w:rPr>
                <w:rFonts w:eastAsia="Times New Roman"/>
                <w:sz w:val="18"/>
                <w:szCs w:val="18"/>
              </w:rPr>
            </w:pPr>
          </w:p>
        </w:tc>
        <w:tc>
          <w:tcPr>
            <w:tcW w:w="573" w:type="dxa"/>
            <w:shd w:val="clear" w:color="auto" w:fill="auto"/>
            <w:noWrap/>
          </w:tcPr>
          <w:p w14:paraId="1DB4EE53" w14:textId="77777777" w:rsidR="00921AE8" w:rsidRPr="00605672" w:rsidRDefault="00921AE8" w:rsidP="004B0C26">
            <w:pPr>
              <w:rPr>
                <w:rFonts w:eastAsia="Times New Roman"/>
                <w:sz w:val="18"/>
                <w:szCs w:val="18"/>
              </w:rPr>
            </w:pPr>
          </w:p>
        </w:tc>
        <w:tc>
          <w:tcPr>
            <w:tcW w:w="573" w:type="dxa"/>
            <w:shd w:val="clear" w:color="auto" w:fill="auto"/>
            <w:noWrap/>
          </w:tcPr>
          <w:p w14:paraId="4127A252" w14:textId="77777777" w:rsidR="00921AE8" w:rsidRPr="00605672" w:rsidRDefault="00921AE8" w:rsidP="004B0C26">
            <w:pPr>
              <w:rPr>
                <w:rFonts w:eastAsia="Times New Roman"/>
                <w:sz w:val="18"/>
                <w:szCs w:val="18"/>
              </w:rPr>
            </w:pPr>
          </w:p>
        </w:tc>
        <w:tc>
          <w:tcPr>
            <w:tcW w:w="573" w:type="dxa"/>
            <w:shd w:val="clear" w:color="auto" w:fill="auto"/>
            <w:noWrap/>
          </w:tcPr>
          <w:p w14:paraId="288AF829" w14:textId="77777777" w:rsidR="00921AE8" w:rsidRPr="00605672" w:rsidRDefault="00921AE8" w:rsidP="004B0C26">
            <w:pPr>
              <w:rPr>
                <w:rFonts w:eastAsia="Times New Roman"/>
                <w:sz w:val="18"/>
                <w:szCs w:val="18"/>
              </w:rPr>
            </w:pPr>
          </w:p>
        </w:tc>
        <w:tc>
          <w:tcPr>
            <w:tcW w:w="573" w:type="dxa"/>
            <w:shd w:val="clear" w:color="auto" w:fill="auto"/>
            <w:noWrap/>
          </w:tcPr>
          <w:p w14:paraId="765F0499" w14:textId="77777777" w:rsidR="00921AE8" w:rsidRPr="00605672" w:rsidRDefault="00921AE8" w:rsidP="004B0C26">
            <w:pPr>
              <w:rPr>
                <w:rFonts w:eastAsia="Times New Roman"/>
                <w:sz w:val="18"/>
                <w:szCs w:val="18"/>
              </w:rPr>
            </w:pPr>
          </w:p>
        </w:tc>
      </w:tr>
      <w:tr w:rsidR="0062648F" w:rsidRPr="00605672" w14:paraId="2F2E7027" w14:textId="77777777" w:rsidTr="0062648F">
        <w:trPr>
          <w:trHeight w:val="227"/>
          <w:jc w:val="center"/>
        </w:trPr>
        <w:tc>
          <w:tcPr>
            <w:tcW w:w="4518" w:type="dxa"/>
            <w:shd w:val="clear" w:color="auto" w:fill="auto"/>
            <w:noWrap/>
          </w:tcPr>
          <w:p w14:paraId="5DFA18F1" w14:textId="088E1B18" w:rsidR="00921AE8" w:rsidRPr="00605672" w:rsidRDefault="00921AE8" w:rsidP="00FC679E">
            <w:pPr>
              <w:rPr>
                <w:rFonts w:eastAsia="Times New Roman"/>
                <w:color w:val="000000"/>
                <w:sz w:val="18"/>
                <w:szCs w:val="18"/>
              </w:rPr>
            </w:pPr>
            <w:r w:rsidRPr="00605672">
              <w:rPr>
                <w:rFonts w:eastAsia="Times New Roman"/>
                <w:color w:val="000000"/>
                <w:sz w:val="18"/>
                <w:szCs w:val="18"/>
              </w:rPr>
              <w:t xml:space="preserve">Order </w:t>
            </w:r>
            <w:r w:rsidR="00FC679E">
              <w:rPr>
                <w:rFonts w:eastAsia="Times New Roman"/>
                <w:color w:val="000000"/>
                <w:sz w:val="18"/>
                <w:szCs w:val="18"/>
              </w:rPr>
              <w:t>u</w:t>
            </w:r>
            <w:r w:rsidR="00B0066E" w:rsidRPr="00605672">
              <w:rPr>
                <w:rFonts w:eastAsia="Times New Roman"/>
                <w:color w:val="000000"/>
                <w:sz w:val="18"/>
                <w:szCs w:val="18"/>
              </w:rPr>
              <w:t>npredictability</w:t>
            </w:r>
          </w:p>
        </w:tc>
        <w:tc>
          <w:tcPr>
            <w:tcW w:w="572" w:type="dxa"/>
            <w:shd w:val="clear" w:color="auto" w:fill="auto"/>
            <w:noWrap/>
          </w:tcPr>
          <w:p w14:paraId="5E9BBC33" w14:textId="77777777" w:rsidR="00921AE8" w:rsidRPr="00605672" w:rsidRDefault="00921AE8" w:rsidP="004B0C26">
            <w:pPr>
              <w:jc w:val="right"/>
              <w:rPr>
                <w:rFonts w:eastAsia="Times New Roman"/>
                <w:color w:val="000000"/>
                <w:sz w:val="18"/>
                <w:szCs w:val="18"/>
              </w:rPr>
            </w:pPr>
            <w:r w:rsidRPr="00605672">
              <w:rPr>
                <w:sz w:val="18"/>
                <w:szCs w:val="18"/>
              </w:rPr>
              <w:t>-.01</w:t>
            </w:r>
          </w:p>
        </w:tc>
        <w:tc>
          <w:tcPr>
            <w:tcW w:w="573" w:type="dxa"/>
            <w:shd w:val="clear" w:color="auto" w:fill="auto"/>
            <w:noWrap/>
          </w:tcPr>
          <w:p w14:paraId="178FEAE3" w14:textId="77777777" w:rsidR="00921AE8" w:rsidRPr="00605672" w:rsidRDefault="00921AE8" w:rsidP="004B0C26">
            <w:pPr>
              <w:jc w:val="right"/>
              <w:rPr>
                <w:rFonts w:eastAsia="Times New Roman"/>
                <w:color w:val="000000"/>
                <w:sz w:val="18"/>
                <w:szCs w:val="18"/>
              </w:rPr>
            </w:pPr>
            <w:r w:rsidRPr="00605672">
              <w:rPr>
                <w:sz w:val="18"/>
                <w:szCs w:val="18"/>
              </w:rPr>
              <w:t>-.07</w:t>
            </w:r>
          </w:p>
        </w:tc>
        <w:tc>
          <w:tcPr>
            <w:tcW w:w="573" w:type="dxa"/>
            <w:shd w:val="clear" w:color="auto" w:fill="auto"/>
            <w:noWrap/>
          </w:tcPr>
          <w:p w14:paraId="0732D1B2" w14:textId="77777777" w:rsidR="00921AE8" w:rsidRPr="00605672" w:rsidRDefault="00921AE8" w:rsidP="004B0C26">
            <w:pPr>
              <w:jc w:val="right"/>
              <w:rPr>
                <w:rFonts w:eastAsia="Times New Roman"/>
                <w:color w:val="000000"/>
                <w:sz w:val="18"/>
                <w:szCs w:val="18"/>
              </w:rPr>
            </w:pPr>
            <w:r w:rsidRPr="00605672">
              <w:rPr>
                <w:sz w:val="18"/>
                <w:szCs w:val="18"/>
              </w:rPr>
              <w:t>-.17</w:t>
            </w:r>
          </w:p>
        </w:tc>
        <w:tc>
          <w:tcPr>
            <w:tcW w:w="573" w:type="dxa"/>
            <w:shd w:val="clear" w:color="auto" w:fill="auto"/>
            <w:noWrap/>
          </w:tcPr>
          <w:p w14:paraId="43A35B3A" w14:textId="77777777" w:rsidR="00921AE8" w:rsidRPr="00605672" w:rsidRDefault="00921AE8" w:rsidP="004B0C26">
            <w:pPr>
              <w:jc w:val="right"/>
              <w:rPr>
                <w:rFonts w:eastAsia="Times New Roman"/>
                <w:color w:val="000000"/>
                <w:sz w:val="18"/>
                <w:szCs w:val="18"/>
              </w:rPr>
            </w:pPr>
            <w:r w:rsidRPr="00605672">
              <w:rPr>
                <w:sz w:val="18"/>
                <w:szCs w:val="18"/>
              </w:rPr>
              <w:t>-.01</w:t>
            </w:r>
          </w:p>
        </w:tc>
        <w:tc>
          <w:tcPr>
            <w:tcW w:w="572" w:type="dxa"/>
            <w:shd w:val="clear" w:color="auto" w:fill="auto"/>
            <w:noWrap/>
          </w:tcPr>
          <w:p w14:paraId="6CEF976F" w14:textId="77777777" w:rsidR="00921AE8" w:rsidRPr="00605672" w:rsidRDefault="00921AE8" w:rsidP="004B0C26">
            <w:pPr>
              <w:jc w:val="right"/>
              <w:rPr>
                <w:rFonts w:eastAsia="Times New Roman"/>
                <w:color w:val="000000"/>
                <w:sz w:val="18"/>
                <w:szCs w:val="18"/>
              </w:rPr>
            </w:pPr>
            <w:r w:rsidRPr="00605672">
              <w:rPr>
                <w:sz w:val="18"/>
                <w:szCs w:val="18"/>
              </w:rPr>
              <w:t>-.17</w:t>
            </w:r>
          </w:p>
        </w:tc>
        <w:tc>
          <w:tcPr>
            <w:tcW w:w="573" w:type="dxa"/>
            <w:shd w:val="clear" w:color="auto" w:fill="auto"/>
            <w:noWrap/>
          </w:tcPr>
          <w:p w14:paraId="3E917596" w14:textId="77777777" w:rsidR="00921AE8" w:rsidRPr="00605672" w:rsidRDefault="00921AE8" w:rsidP="004B0C26">
            <w:pPr>
              <w:jc w:val="right"/>
              <w:rPr>
                <w:rFonts w:eastAsia="Times New Roman"/>
                <w:color w:val="000000"/>
                <w:sz w:val="18"/>
                <w:szCs w:val="18"/>
              </w:rPr>
            </w:pPr>
            <w:r w:rsidRPr="00605672">
              <w:rPr>
                <w:sz w:val="18"/>
                <w:szCs w:val="18"/>
              </w:rPr>
              <w:t>-.07</w:t>
            </w:r>
          </w:p>
        </w:tc>
        <w:tc>
          <w:tcPr>
            <w:tcW w:w="573" w:type="dxa"/>
            <w:shd w:val="clear" w:color="auto" w:fill="auto"/>
            <w:noWrap/>
          </w:tcPr>
          <w:p w14:paraId="6D58C37F" w14:textId="77777777" w:rsidR="00921AE8" w:rsidRPr="00605672" w:rsidRDefault="00921AE8" w:rsidP="004B0C26">
            <w:pPr>
              <w:jc w:val="right"/>
              <w:rPr>
                <w:rFonts w:eastAsia="Times New Roman"/>
                <w:color w:val="000000"/>
                <w:sz w:val="18"/>
                <w:szCs w:val="18"/>
              </w:rPr>
            </w:pPr>
            <w:r w:rsidRPr="00605672">
              <w:rPr>
                <w:sz w:val="18"/>
                <w:szCs w:val="18"/>
              </w:rPr>
              <w:t>-.13</w:t>
            </w:r>
          </w:p>
        </w:tc>
        <w:tc>
          <w:tcPr>
            <w:tcW w:w="573" w:type="dxa"/>
            <w:shd w:val="clear" w:color="auto" w:fill="auto"/>
            <w:noWrap/>
          </w:tcPr>
          <w:p w14:paraId="0150CE56" w14:textId="77777777" w:rsidR="00921AE8" w:rsidRPr="00605672" w:rsidRDefault="00921AE8" w:rsidP="004B0C26">
            <w:pPr>
              <w:jc w:val="right"/>
              <w:rPr>
                <w:rFonts w:eastAsia="Times New Roman"/>
                <w:color w:val="000000"/>
                <w:sz w:val="18"/>
                <w:szCs w:val="18"/>
              </w:rPr>
            </w:pPr>
            <w:r w:rsidRPr="00605672">
              <w:rPr>
                <w:sz w:val="18"/>
                <w:szCs w:val="18"/>
              </w:rPr>
              <w:t>-.27</w:t>
            </w:r>
          </w:p>
        </w:tc>
        <w:tc>
          <w:tcPr>
            <w:tcW w:w="572" w:type="dxa"/>
            <w:shd w:val="clear" w:color="auto" w:fill="auto"/>
            <w:noWrap/>
          </w:tcPr>
          <w:p w14:paraId="14085BA3" w14:textId="77777777" w:rsidR="00921AE8" w:rsidRPr="00605672" w:rsidRDefault="00921AE8" w:rsidP="004B0C26">
            <w:pPr>
              <w:jc w:val="right"/>
              <w:rPr>
                <w:rFonts w:eastAsia="Times New Roman"/>
                <w:color w:val="000000"/>
                <w:sz w:val="18"/>
                <w:szCs w:val="18"/>
              </w:rPr>
            </w:pPr>
            <w:r w:rsidRPr="00605672">
              <w:rPr>
                <w:sz w:val="18"/>
                <w:szCs w:val="18"/>
              </w:rPr>
              <w:t>-.31</w:t>
            </w:r>
          </w:p>
        </w:tc>
        <w:tc>
          <w:tcPr>
            <w:tcW w:w="573" w:type="dxa"/>
            <w:shd w:val="clear" w:color="auto" w:fill="auto"/>
            <w:noWrap/>
          </w:tcPr>
          <w:p w14:paraId="1FB03E01" w14:textId="77777777" w:rsidR="00921AE8" w:rsidRPr="00605672" w:rsidRDefault="00921AE8" w:rsidP="004B0C26">
            <w:pPr>
              <w:jc w:val="right"/>
              <w:rPr>
                <w:rFonts w:eastAsia="Times New Roman"/>
                <w:color w:val="000000"/>
                <w:sz w:val="18"/>
                <w:szCs w:val="18"/>
              </w:rPr>
            </w:pPr>
            <w:r w:rsidRPr="00605672">
              <w:rPr>
                <w:sz w:val="18"/>
                <w:szCs w:val="18"/>
              </w:rPr>
              <w:t>.04</w:t>
            </w:r>
          </w:p>
        </w:tc>
        <w:tc>
          <w:tcPr>
            <w:tcW w:w="573" w:type="dxa"/>
            <w:shd w:val="clear" w:color="auto" w:fill="auto"/>
            <w:noWrap/>
          </w:tcPr>
          <w:p w14:paraId="47477DC6" w14:textId="77777777" w:rsidR="00921AE8" w:rsidRPr="00605672" w:rsidRDefault="00921AE8" w:rsidP="004B0C26">
            <w:pPr>
              <w:jc w:val="right"/>
              <w:rPr>
                <w:rFonts w:eastAsia="Times New Roman"/>
                <w:color w:val="000000"/>
                <w:sz w:val="18"/>
                <w:szCs w:val="18"/>
              </w:rPr>
            </w:pPr>
            <w:r w:rsidRPr="00605672">
              <w:rPr>
                <w:sz w:val="18"/>
                <w:szCs w:val="18"/>
              </w:rPr>
              <w:t>-</w:t>
            </w:r>
          </w:p>
        </w:tc>
        <w:tc>
          <w:tcPr>
            <w:tcW w:w="573" w:type="dxa"/>
            <w:shd w:val="clear" w:color="auto" w:fill="auto"/>
            <w:noWrap/>
          </w:tcPr>
          <w:p w14:paraId="1CB0E91D" w14:textId="77777777" w:rsidR="00921AE8" w:rsidRPr="00605672" w:rsidRDefault="00921AE8" w:rsidP="004B0C26">
            <w:pPr>
              <w:jc w:val="right"/>
              <w:rPr>
                <w:rFonts w:eastAsia="Times New Roman"/>
                <w:color w:val="000000"/>
                <w:sz w:val="18"/>
                <w:szCs w:val="18"/>
              </w:rPr>
            </w:pPr>
          </w:p>
        </w:tc>
        <w:tc>
          <w:tcPr>
            <w:tcW w:w="572" w:type="dxa"/>
            <w:shd w:val="clear" w:color="auto" w:fill="auto"/>
            <w:noWrap/>
          </w:tcPr>
          <w:p w14:paraId="49EBC6F7" w14:textId="77777777" w:rsidR="00921AE8" w:rsidRPr="00605672" w:rsidRDefault="00921AE8" w:rsidP="004B0C26">
            <w:pPr>
              <w:rPr>
                <w:rFonts w:eastAsia="Times New Roman"/>
                <w:sz w:val="18"/>
                <w:szCs w:val="18"/>
              </w:rPr>
            </w:pPr>
          </w:p>
        </w:tc>
        <w:tc>
          <w:tcPr>
            <w:tcW w:w="573" w:type="dxa"/>
            <w:shd w:val="clear" w:color="auto" w:fill="auto"/>
            <w:noWrap/>
          </w:tcPr>
          <w:p w14:paraId="753CCBDE" w14:textId="77777777" w:rsidR="00921AE8" w:rsidRPr="00605672" w:rsidRDefault="00921AE8" w:rsidP="004B0C26">
            <w:pPr>
              <w:rPr>
                <w:rFonts w:eastAsia="Times New Roman"/>
                <w:sz w:val="18"/>
                <w:szCs w:val="18"/>
              </w:rPr>
            </w:pPr>
          </w:p>
        </w:tc>
        <w:tc>
          <w:tcPr>
            <w:tcW w:w="573" w:type="dxa"/>
            <w:shd w:val="clear" w:color="auto" w:fill="auto"/>
            <w:noWrap/>
          </w:tcPr>
          <w:p w14:paraId="3865F132" w14:textId="77777777" w:rsidR="00921AE8" w:rsidRPr="00605672" w:rsidRDefault="00921AE8" w:rsidP="004B0C26">
            <w:pPr>
              <w:rPr>
                <w:rFonts w:eastAsia="Times New Roman"/>
                <w:sz w:val="18"/>
                <w:szCs w:val="18"/>
              </w:rPr>
            </w:pPr>
          </w:p>
        </w:tc>
        <w:tc>
          <w:tcPr>
            <w:tcW w:w="573" w:type="dxa"/>
            <w:shd w:val="clear" w:color="auto" w:fill="auto"/>
            <w:noWrap/>
          </w:tcPr>
          <w:p w14:paraId="39E2D438" w14:textId="77777777" w:rsidR="00921AE8" w:rsidRPr="00605672" w:rsidRDefault="00921AE8" w:rsidP="004B0C26">
            <w:pPr>
              <w:rPr>
                <w:rFonts w:eastAsia="Times New Roman"/>
                <w:sz w:val="18"/>
                <w:szCs w:val="18"/>
              </w:rPr>
            </w:pPr>
          </w:p>
        </w:tc>
        <w:tc>
          <w:tcPr>
            <w:tcW w:w="573" w:type="dxa"/>
            <w:shd w:val="clear" w:color="auto" w:fill="auto"/>
            <w:noWrap/>
          </w:tcPr>
          <w:p w14:paraId="4DF44601" w14:textId="77777777" w:rsidR="00921AE8" w:rsidRPr="00605672" w:rsidRDefault="00921AE8" w:rsidP="004B0C26">
            <w:pPr>
              <w:rPr>
                <w:rFonts w:eastAsia="Times New Roman"/>
                <w:sz w:val="18"/>
                <w:szCs w:val="18"/>
              </w:rPr>
            </w:pPr>
          </w:p>
        </w:tc>
      </w:tr>
      <w:tr w:rsidR="0062648F" w:rsidRPr="00605672" w14:paraId="1DCF6823" w14:textId="77777777" w:rsidTr="0062648F">
        <w:trPr>
          <w:trHeight w:val="227"/>
          <w:jc w:val="center"/>
        </w:trPr>
        <w:tc>
          <w:tcPr>
            <w:tcW w:w="4518" w:type="dxa"/>
            <w:shd w:val="clear" w:color="auto" w:fill="auto"/>
            <w:noWrap/>
          </w:tcPr>
          <w:p w14:paraId="23914F34" w14:textId="4EB21A4B" w:rsidR="00921AE8" w:rsidRPr="00605672" w:rsidRDefault="00921AE8" w:rsidP="00FC679E">
            <w:pPr>
              <w:rPr>
                <w:rFonts w:eastAsia="Times New Roman"/>
                <w:color w:val="000000"/>
                <w:sz w:val="18"/>
                <w:szCs w:val="18"/>
              </w:rPr>
            </w:pPr>
            <w:r w:rsidRPr="00605672">
              <w:rPr>
                <w:rFonts w:eastAsia="Times New Roman"/>
                <w:color w:val="000000"/>
                <w:sz w:val="18"/>
                <w:szCs w:val="18"/>
              </w:rPr>
              <w:t xml:space="preserve">Demand </w:t>
            </w:r>
            <w:r w:rsidR="00FC679E">
              <w:rPr>
                <w:rFonts w:eastAsia="Times New Roman"/>
                <w:color w:val="000000"/>
                <w:sz w:val="18"/>
                <w:szCs w:val="18"/>
              </w:rPr>
              <w:t>u</w:t>
            </w:r>
            <w:r w:rsidR="00B0066E" w:rsidRPr="00605672">
              <w:rPr>
                <w:rFonts w:eastAsia="Times New Roman"/>
                <w:color w:val="000000"/>
                <w:sz w:val="18"/>
                <w:szCs w:val="18"/>
              </w:rPr>
              <w:t>npredictability</w:t>
            </w:r>
          </w:p>
        </w:tc>
        <w:tc>
          <w:tcPr>
            <w:tcW w:w="572" w:type="dxa"/>
            <w:shd w:val="clear" w:color="auto" w:fill="auto"/>
            <w:noWrap/>
          </w:tcPr>
          <w:p w14:paraId="189838DD" w14:textId="77777777" w:rsidR="00921AE8" w:rsidRPr="00605672" w:rsidRDefault="00921AE8" w:rsidP="004B0C26">
            <w:pPr>
              <w:jc w:val="right"/>
              <w:rPr>
                <w:rFonts w:eastAsia="Times New Roman"/>
                <w:color w:val="000000"/>
                <w:sz w:val="18"/>
                <w:szCs w:val="18"/>
              </w:rPr>
            </w:pPr>
            <w:r w:rsidRPr="00605672">
              <w:rPr>
                <w:sz w:val="18"/>
                <w:szCs w:val="18"/>
              </w:rPr>
              <w:t>-.06</w:t>
            </w:r>
          </w:p>
        </w:tc>
        <w:tc>
          <w:tcPr>
            <w:tcW w:w="573" w:type="dxa"/>
            <w:shd w:val="clear" w:color="auto" w:fill="auto"/>
            <w:noWrap/>
          </w:tcPr>
          <w:p w14:paraId="22CA27E4" w14:textId="77777777" w:rsidR="00921AE8" w:rsidRPr="00605672" w:rsidRDefault="00921AE8" w:rsidP="004B0C26">
            <w:pPr>
              <w:jc w:val="right"/>
              <w:rPr>
                <w:rFonts w:eastAsia="Times New Roman"/>
                <w:color w:val="000000"/>
                <w:sz w:val="18"/>
                <w:szCs w:val="18"/>
              </w:rPr>
            </w:pPr>
            <w:r w:rsidRPr="00605672">
              <w:rPr>
                <w:sz w:val="18"/>
                <w:szCs w:val="18"/>
              </w:rPr>
              <w:t>-.01</w:t>
            </w:r>
          </w:p>
        </w:tc>
        <w:tc>
          <w:tcPr>
            <w:tcW w:w="573" w:type="dxa"/>
            <w:shd w:val="clear" w:color="auto" w:fill="auto"/>
            <w:noWrap/>
          </w:tcPr>
          <w:p w14:paraId="406912BF" w14:textId="77777777" w:rsidR="00921AE8" w:rsidRPr="00605672" w:rsidRDefault="00921AE8" w:rsidP="004B0C26">
            <w:pPr>
              <w:jc w:val="right"/>
              <w:rPr>
                <w:rFonts w:eastAsia="Times New Roman"/>
                <w:color w:val="000000"/>
                <w:sz w:val="18"/>
                <w:szCs w:val="18"/>
              </w:rPr>
            </w:pPr>
            <w:r w:rsidRPr="00605672">
              <w:rPr>
                <w:sz w:val="18"/>
                <w:szCs w:val="18"/>
              </w:rPr>
              <w:t>-.16</w:t>
            </w:r>
          </w:p>
        </w:tc>
        <w:tc>
          <w:tcPr>
            <w:tcW w:w="573" w:type="dxa"/>
            <w:shd w:val="clear" w:color="auto" w:fill="auto"/>
            <w:noWrap/>
          </w:tcPr>
          <w:p w14:paraId="1A00F6B7" w14:textId="77777777" w:rsidR="00921AE8" w:rsidRPr="00605672" w:rsidRDefault="00921AE8" w:rsidP="004B0C26">
            <w:pPr>
              <w:jc w:val="right"/>
              <w:rPr>
                <w:rFonts w:eastAsia="Times New Roman"/>
                <w:color w:val="000000"/>
                <w:sz w:val="18"/>
                <w:szCs w:val="18"/>
              </w:rPr>
            </w:pPr>
            <w:r w:rsidRPr="00605672">
              <w:rPr>
                <w:sz w:val="18"/>
                <w:szCs w:val="18"/>
              </w:rPr>
              <w:t>-.05</w:t>
            </w:r>
          </w:p>
        </w:tc>
        <w:tc>
          <w:tcPr>
            <w:tcW w:w="572" w:type="dxa"/>
            <w:shd w:val="clear" w:color="auto" w:fill="auto"/>
            <w:noWrap/>
          </w:tcPr>
          <w:p w14:paraId="32058F57" w14:textId="77777777" w:rsidR="00921AE8" w:rsidRPr="00605672" w:rsidRDefault="00921AE8" w:rsidP="004B0C26">
            <w:pPr>
              <w:jc w:val="right"/>
              <w:rPr>
                <w:rFonts w:eastAsia="Times New Roman"/>
                <w:color w:val="000000"/>
                <w:sz w:val="18"/>
                <w:szCs w:val="18"/>
              </w:rPr>
            </w:pPr>
            <w:r w:rsidRPr="00605672">
              <w:rPr>
                <w:sz w:val="18"/>
                <w:szCs w:val="18"/>
              </w:rPr>
              <w:t>-.16</w:t>
            </w:r>
          </w:p>
        </w:tc>
        <w:tc>
          <w:tcPr>
            <w:tcW w:w="573" w:type="dxa"/>
            <w:shd w:val="clear" w:color="auto" w:fill="auto"/>
            <w:noWrap/>
          </w:tcPr>
          <w:p w14:paraId="1A58D3AD" w14:textId="77777777" w:rsidR="00921AE8" w:rsidRPr="00605672" w:rsidRDefault="00921AE8" w:rsidP="004B0C26">
            <w:pPr>
              <w:jc w:val="right"/>
              <w:rPr>
                <w:rFonts w:eastAsia="Times New Roman"/>
                <w:color w:val="000000"/>
                <w:sz w:val="18"/>
                <w:szCs w:val="18"/>
              </w:rPr>
            </w:pPr>
            <w:r w:rsidRPr="00605672">
              <w:rPr>
                <w:sz w:val="18"/>
                <w:szCs w:val="18"/>
              </w:rPr>
              <w:t>-.07</w:t>
            </w:r>
          </w:p>
        </w:tc>
        <w:tc>
          <w:tcPr>
            <w:tcW w:w="573" w:type="dxa"/>
            <w:shd w:val="clear" w:color="auto" w:fill="auto"/>
            <w:noWrap/>
          </w:tcPr>
          <w:p w14:paraId="5CBD49DF" w14:textId="77777777" w:rsidR="00921AE8" w:rsidRPr="00605672" w:rsidRDefault="00921AE8" w:rsidP="004B0C26">
            <w:pPr>
              <w:jc w:val="right"/>
              <w:rPr>
                <w:rFonts w:eastAsia="Times New Roman"/>
                <w:color w:val="000000"/>
                <w:sz w:val="18"/>
                <w:szCs w:val="18"/>
              </w:rPr>
            </w:pPr>
            <w:r w:rsidRPr="00605672">
              <w:rPr>
                <w:sz w:val="18"/>
                <w:szCs w:val="18"/>
              </w:rPr>
              <w:t>-.19</w:t>
            </w:r>
          </w:p>
        </w:tc>
        <w:tc>
          <w:tcPr>
            <w:tcW w:w="573" w:type="dxa"/>
            <w:shd w:val="clear" w:color="auto" w:fill="auto"/>
            <w:noWrap/>
          </w:tcPr>
          <w:p w14:paraId="64C7C86D" w14:textId="77777777" w:rsidR="00921AE8" w:rsidRPr="00605672" w:rsidRDefault="00921AE8" w:rsidP="004B0C26">
            <w:pPr>
              <w:jc w:val="right"/>
              <w:rPr>
                <w:rFonts w:eastAsia="Times New Roman"/>
                <w:color w:val="000000"/>
                <w:sz w:val="18"/>
                <w:szCs w:val="18"/>
              </w:rPr>
            </w:pPr>
            <w:r w:rsidRPr="00605672">
              <w:rPr>
                <w:sz w:val="18"/>
                <w:szCs w:val="18"/>
              </w:rPr>
              <w:t>-.18</w:t>
            </w:r>
          </w:p>
        </w:tc>
        <w:tc>
          <w:tcPr>
            <w:tcW w:w="572" w:type="dxa"/>
            <w:shd w:val="clear" w:color="auto" w:fill="auto"/>
            <w:noWrap/>
          </w:tcPr>
          <w:p w14:paraId="5F60E453" w14:textId="77777777" w:rsidR="00921AE8" w:rsidRPr="00605672" w:rsidRDefault="00921AE8" w:rsidP="004B0C26">
            <w:pPr>
              <w:jc w:val="right"/>
              <w:rPr>
                <w:rFonts w:eastAsia="Times New Roman"/>
                <w:color w:val="000000"/>
                <w:sz w:val="18"/>
                <w:szCs w:val="18"/>
              </w:rPr>
            </w:pPr>
            <w:r w:rsidRPr="00605672">
              <w:rPr>
                <w:sz w:val="18"/>
                <w:szCs w:val="18"/>
              </w:rPr>
              <w:t>-.17</w:t>
            </w:r>
          </w:p>
        </w:tc>
        <w:tc>
          <w:tcPr>
            <w:tcW w:w="573" w:type="dxa"/>
            <w:shd w:val="clear" w:color="auto" w:fill="auto"/>
            <w:noWrap/>
          </w:tcPr>
          <w:p w14:paraId="23241F1E" w14:textId="77777777" w:rsidR="00921AE8" w:rsidRPr="00605672" w:rsidRDefault="00921AE8" w:rsidP="004B0C26">
            <w:pPr>
              <w:jc w:val="right"/>
              <w:rPr>
                <w:rFonts w:eastAsia="Times New Roman"/>
                <w:color w:val="000000"/>
                <w:sz w:val="18"/>
                <w:szCs w:val="18"/>
              </w:rPr>
            </w:pPr>
            <w:r w:rsidRPr="00605672">
              <w:rPr>
                <w:sz w:val="18"/>
                <w:szCs w:val="18"/>
              </w:rPr>
              <w:t>.02</w:t>
            </w:r>
          </w:p>
        </w:tc>
        <w:tc>
          <w:tcPr>
            <w:tcW w:w="573" w:type="dxa"/>
            <w:shd w:val="clear" w:color="auto" w:fill="auto"/>
            <w:noWrap/>
          </w:tcPr>
          <w:p w14:paraId="3BCA8902" w14:textId="77777777" w:rsidR="00921AE8" w:rsidRPr="00605672" w:rsidRDefault="00921AE8" w:rsidP="004B0C26">
            <w:pPr>
              <w:jc w:val="right"/>
              <w:rPr>
                <w:rFonts w:eastAsia="Times New Roman"/>
                <w:color w:val="000000"/>
                <w:sz w:val="18"/>
                <w:szCs w:val="18"/>
              </w:rPr>
            </w:pPr>
            <w:r w:rsidRPr="00605672">
              <w:rPr>
                <w:sz w:val="18"/>
                <w:szCs w:val="18"/>
              </w:rPr>
              <w:t>.74</w:t>
            </w:r>
          </w:p>
        </w:tc>
        <w:tc>
          <w:tcPr>
            <w:tcW w:w="573" w:type="dxa"/>
            <w:shd w:val="clear" w:color="auto" w:fill="auto"/>
            <w:noWrap/>
          </w:tcPr>
          <w:p w14:paraId="63F6D3A9" w14:textId="77777777" w:rsidR="00921AE8" w:rsidRPr="00605672" w:rsidRDefault="00921AE8" w:rsidP="004B0C26">
            <w:pPr>
              <w:jc w:val="right"/>
              <w:rPr>
                <w:rFonts w:eastAsia="Times New Roman"/>
                <w:color w:val="000000"/>
                <w:sz w:val="18"/>
                <w:szCs w:val="18"/>
              </w:rPr>
            </w:pPr>
            <w:r w:rsidRPr="00605672">
              <w:rPr>
                <w:sz w:val="18"/>
                <w:szCs w:val="18"/>
              </w:rPr>
              <w:t>-</w:t>
            </w:r>
          </w:p>
        </w:tc>
        <w:tc>
          <w:tcPr>
            <w:tcW w:w="572" w:type="dxa"/>
            <w:shd w:val="clear" w:color="auto" w:fill="auto"/>
            <w:noWrap/>
          </w:tcPr>
          <w:p w14:paraId="0F22F49B" w14:textId="77777777" w:rsidR="00921AE8" w:rsidRPr="00605672" w:rsidRDefault="00921AE8" w:rsidP="004B0C26">
            <w:pPr>
              <w:jc w:val="right"/>
              <w:rPr>
                <w:rFonts w:eastAsia="Times New Roman"/>
                <w:color w:val="000000"/>
                <w:sz w:val="18"/>
                <w:szCs w:val="18"/>
              </w:rPr>
            </w:pPr>
          </w:p>
        </w:tc>
        <w:tc>
          <w:tcPr>
            <w:tcW w:w="573" w:type="dxa"/>
            <w:shd w:val="clear" w:color="auto" w:fill="auto"/>
            <w:noWrap/>
          </w:tcPr>
          <w:p w14:paraId="4B0E9B99" w14:textId="77777777" w:rsidR="00921AE8" w:rsidRPr="00605672" w:rsidRDefault="00921AE8" w:rsidP="004B0C26">
            <w:pPr>
              <w:rPr>
                <w:rFonts w:eastAsia="Times New Roman"/>
                <w:sz w:val="18"/>
                <w:szCs w:val="18"/>
              </w:rPr>
            </w:pPr>
          </w:p>
        </w:tc>
        <w:tc>
          <w:tcPr>
            <w:tcW w:w="573" w:type="dxa"/>
            <w:shd w:val="clear" w:color="auto" w:fill="auto"/>
            <w:noWrap/>
          </w:tcPr>
          <w:p w14:paraId="0A742CC1" w14:textId="77777777" w:rsidR="00921AE8" w:rsidRPr="00605672" w:rsidRDefault="00921AE8" w:rsidP="004B0C26">
            <w:pPr>
              <w:rPr>
                <w:rFonts w:eastAsia="Times New Roman"/>
                <w:sz w:val="18"/>
                <w:szCs w:val="18"/>
              </w:rPr>
            </w:pPr>
          </w:p>
        </w:tc>
        <w:tc>
          <w:tcPr>
            <w:tcW w:w="573" w:type="dxa"/>
            <w:shd w:val="clear" w:color="auto" w:fill="auto"/>
            <w:noWrap/>
          </w:tcPr>
          <w:p w14:paraId="25E5985E" w14:textId="77777777" w:rsidR="00921AE8" w:rsidRPr="00605672" w:rsidRDefault="00921AE8" w:rsidP="004B0C26">
            <w:pPr>
              <w:rPr>
                <w:rFonts w:eastAsia="Times New Roman"/>
                <w:sz w:val="18"/>
                <w:szCs w:val="18"/>
              </w:rPr>
            </w:pPr>
          </w:p>
        </w:tc>
        <w:tc>
          <w:tcPr>
            <w:tcW w:w="573" w:type="dxa"/>
            <w:shd w:val="clear" w:color="auto" w:fill="auto"/>
            <w:noWrap/>
          </w:tcPr>
          <w:p w14:paraId="74132716" w14:textId="77777777" w:rsidR="00921AE8" w:rsidRPr="00605672" w:rsidRDefault="00921AE8" w:rsidP="004B0C26">
            <w:pPr>
              <w:rPr>
                <w:rFonts w:eastAsia="Times New Roman"/>
                <w:sz w:val="18"/>
                <w:szCs w:val="18"/>
              </w:rPr>
            </w:pPr>
          </w:p>
        </w:tc>
      </w:tr>
      <w:tr w:rsidR="0062648F" w:rsidRPr="00605672" w14:paraId="42E7D277" w14:textId="77777777" w:rsidTr="0062648F">
        <w:trPr>
          <w:trHeight w:val="227"/>
          <w:jc w:val="center"/>
        </w:trPr>
        <w:tc>
          <w:tcPr>
            <w:tcW w:w="4518" w:type="dxa"/>
            <w:shd w:val="clear" w:color="auto" w:fill="auto"/>
            <w:noWrap/>
          </w:tcPr>
          <w:p w14:paraId="38DAC4FB" w14:textId="21A7A064" w:rsidR="00921AE8" w:rsidRPr="00605672" w:rsidRDefault="00921AE8" w:rsidP="002B7691">
            <w:pPr>
              <w:rPr>
                <w:rFonts w:eastAsia="Times New Roman"/>
                <w:color w:val="000000"/>
                <w:sz w:val="18"/>
                <w:szCs w:val="18"/>
              </w:rPr>
            </w:pPr>
            <w:r w:rsidRPr="00605672">
              <w:rPr>
                <w:rFonts w:eastAsia="Times New Roman"/>
                <w:color w:val="000000"/>
                <w:sz w:val="18"/>
                <w:szCs w:val="18"/>
              </w:rPr>
              <w:t xml:space="preserve">Demand </w:t>
            </w:r>
            <w:r w:rsidR="00FC679E">
              <w:rPr>
                <w:rFonts w:eastAsia="Times New Roman"/>
                <w:color w:val="000000"/>
                <w:sz w:val="18"/>
                <w:szCs w:val="18"/>
              </w:rPr>
              <w:t>u</w:t>
            </w:r>
            <w:r w:rsidR="00B0066E" w:rsidRPr="00605672">
              <w:rPr>
                <w:rFonts w:eastAsia="Times New Roman"/>
                <w:color w:val="000000"/>
                <w:sz w:val="18"/>
                <w:szCs w:val="18"/>
              </w:rPr>
              <w:t>ncertainty</w:t>
            </w:r>
          </w:p>
        </w:tc>
        <w:tc>
          <w:tcPr>
            <w:tcW w:w="572" w:type="dxa"/>
            <w:shd w:val="clear" w:color="auto" w:fill="auto"/>
            <w:noWrap/>
          </w:tcPr>
          <w:p w14:paraId="3BC3A8DA" w14:textId="77777777" w:rsidR="00921AE8" w:rsidRPr="00605672" w:rsidRDefault="00921AE8" w:rsidP="004B0C26">
            <w:pPr>
              <w:jc w:val="right"/>
              <w:rPr>
                <w:rFonts w:eastAsia="Times New Roman"/>
                <w:color w:val="000000"/>
                <w:sz w:val="18"/>
                <w:szCs w:val="18"/>
              </w:rPr>
            </w:pPr>
            <w:r w:rsidRPr="00605672">
              <w:rPr>
                <w:sz w:val="18"/>
                <w:szCs w:val="18"/>
              </w:rPr>
              <w:t>.27</w:t>
            </w:r>
          </w:p>
        </w:tc>
        <w:tc>
          <w:tcPr>
            <w:tcW w:w="573" w:type="dxa"/>
            <w:shd w:val="clear" w:color="auto" w:fill="auto"/>
            <w:noWrap/>
          </w:tcPr>
          <w:p w14:paraId="5C317A9A" w14:textId="77777777" w:rsidR="00921AE8" w:rsidRPr="00605672" w:rsidRDefault="00921AE8" w:rsidP="004B0C26">
            <w:pPr>
              <w:jc w:val="right"/>
              <w:rPr>
                <w:rFonts w:eastAsia="Times New Roman"/>
                <w:color w:val="000000"/>
                <w:sz w:val="18"/>
                <w:szCs w:val="18"/>
              </w:rPr>
            </w:pPr>
            <w:r w:rsidRPr="00605672">
              <w:rPr>
                <w:sz w:val="18"/>
                <w:szCs w:val="18"/>
              </w:rPr>
              <w:t>.12</w:t>
            </w:r>
          </w:p>
        </w:tc>
        <w:tc>
          <w:tcPr>
            <w:tcW w:w="573" w:type="dxa"/>
            <w:shd w:val="clear" w:color="auto" w:fill="auto"/>
            <w:noWrap/>
          </w:tcPr>
          <w:p w14:paraId="713943C1" w14:textId="77777777" w:rsidR="00921AE8" w:rsidRPr="00605672" w:rsidRDefault="00921AE8" w:rsidP="004B0C26">
            <w:pPr>
              <w:jc w:val="right"/>
              <w:rPr>
                <w:rFonts w:eastAsia="Times New Roman"/>
                <w:color w:val="000000"/>
                <w:sz w:val="18"/>
                <w:szCs w:val="18"/>
              </w:rPr>
            </w:pPr>
            <w:r w:rsidRPr="00605672">
              <w:rPr>
                <w:sz w:val="18"/>
                <w:szCs w:val="18"/>
              </w:rPr>
              <w:t>-.09</w:t>
            </w:r>
          </w:p>
        </w:tc>
        <w:tc>
          <w:tcPr>
            <w:tcW w:w="573" w:type="dxa"/>
            <w:shd w:val="clear" w:color="auto" w:fill="auto"/>
            <w:noWrap/>
          </w:tcPr>
          <w:p w14:paraId="3CE92CD6" w14:textId="77777777" w:rsidR="00921AE8" w:rsidRPr="00605672" w:rsidRDefault="00921AE8" w:rsidP="004B0C26">
            <w:pPr>
              <w:jc w:val="right"/>
              <w:rPr>
                <w:rFonts w:eastAsia="Times New Roman"/>
                <w:color w:val="000000"/>
                <w:sz w:val="18"/>
                <w:szCs w:val="18"/>
              </w:rPr>
            </w:pPr>
            <w:r w:rsidRPr="00605672">
              <w:rPr>
                <w:sz w:val="18"/>
                <w:szCs w:val="18"/>
              </w:rPr>
              <w:t>-.09</w:t>
            </w:r>
          </w:p>
        </w:tc>
        <w:tc>
          <w:tcPr>
            <w:tcW w:w="572" w:type="dxa"/>
            <w:shd w:val="clear" w:color="auto" w:fill="auto"/>
            <w:noWrap/>
          </w:tcPr>
          <w:p w14:paraId="5869F2F8" w14:textId="77777777" w:rsidR="00921AE8" w:rsidRPr="00605672" w:rsidRDefault="00921AE8" w:rsidP="004B0C26">
            <w:pPr>
              <w:jc w:val="right"/>
              <w:rPr>
                <w:rFonts w:eastAsia="Times New Roman"/>
                <w:color w:val="000000"/>
                <w:sz w:val="18"/>
                <w:szCs w:val="18"/>
              </w:rPr>
            </w:pPr>
            <w:r w:rsidRPr="00605672">
              <w:rPr>
                <w:sz w:val="18"/>
                <w:szCs w:val="18"/>
              </w:rPr>
              <w:t>-.09</w:t>
            </w:r>
          </w:p>
        </w:tc>
        <w:tc>
          <w:tcPr>
            <w:tcW w:w="573" w:type="dxa"/>
            <w:shd w:val="clear" w:color="auto" w:fill="auto"/>
            <w:noWrap/>
          </w:tcPr>
          <w:p w14:paraId="739AFD24" w14:textId="77777777" w:rsidR="00921AE8" w:rsidRPr="00605672" w:rsidRDefault="00921AE8" w:rsidP="004B0C26">
            <w:pPr>
              <w:jc w:val="right"/>
              <w:rPr>
                <w:rFonts w:eastAsia="Times New Roman"/>
                <w:color w:val="000000"/>
                <w:sz w:val="18"/>
                <w:szCs w:val="18"/>
              </w:rPr>
            </w:pPr>
            <w:r w:rsidRPr="00605672">
              <w:rPr>
                <w:sz w:val="18"/>
                <w:szCs w:val="18"/>
              </w:rPr>
              <w:t>-.15</w:t>
            </w:r>
          </w:p>
        </w:tc>
        <w:tc>
          <w:tcPr>
            <w:tcW w:w="573" w:type="dxa"/>
            <w:shd w:val="clear" w:color="auto" w:fill="auto"/>
            <w:noWrap/>
          </w:tcPr>
          <w:p w14:paraId="1BEE413F" w14:textId="77777777" w:rsidR="00921AE8" w:rsidRPr="00605672" w:rsidRDefault="00921AE8" w:rsidP="004B0C26">
            <w:pPr>
              <w:jc w:val="right"/>
              <w:rPr>
                <w:rFonts w:eastAsia="Times New Roman"/>
                <w:color w:val="000000"/>
                <w:sz w:val="18"/>
                <w:szCs w:val="18"/>
              </w:rPr>
            </w:pPr>
            <w:r w:rsidRPr="00605672">
              <w:rPr>
                <w:sz w:val="18"/>
                <w:szCs w:val="18"/>
              </w:rPr>
              <w:t>-.13</w:t>
            </w:r>
          </w:p>
        </w:tc>
        <w:tc>
          <w:tcPr>
            <w:tcW w:w="573" w:type="dxa"/>
            <w:shd w:val="clear" w:color="auto" w:fill="auto"/>
            <w:noWrap/>
          </w:tcPr>
          <w:p w14:paraId="1E49C868" w14:textId="77777777" w:rsidR="00921AE8" w:rsidRPr="00605672" w:rsidRDefault="00921AE8" w:rsidP="004B0C26">
            <w:pPr>
              <w:jc w:val="right"/>
              <w:rPr>
                <w:rFonts w:eastAsia="Times New Roman"/>
                <w:color w:val="000000"/>
                <w:sz w:val="18"/>
                <w:szCs w:val="18"/>
              </w:rPr>
            </w:pPr>
            <w:r w:rsidRPr="00605672">
              <w:rPr>
                <w:sz w:val="18"/>
                <w:szCs w:val="18"/>
              </w:rPr>
              <w:t>-.36</w:t>
            </w:r>
          </w:p>
        </w:tc>
        <w:tc>
          <w:tcPr>
            <w:tcW w:w="572" w:type="dxa"/>
            <w:shd w:val="clear" w:color="auto" w:fill="auto"/>
            <w:noWrap/>
          </w:tcPr>
          <w:p w14:paraId="0F9A124E" w14:textId="77777777" w:rsidR="00921AE8" w:rsidRPr="00605672" w:rsidRDefault="00921AE8" w:rsidP="004B0C26">
            <w:pPr>
              <w:jc w:val="right"/>
              <w:rPr>
                <w:rFonts w:eastAsia="Times New Roman"/>
                <w:color w:val="000000"/>
                <w:sz w:val="18"/>
                <w:szCs w:val="18"/>
              </w:rPr>
            </w:pPr>
            <w:r w:rsidRPr="00605672">
              <w:rPr>
                <w:sz w:val="18"/>
                <w:szCs w:val="18"/>
              </w:rPr>
              <w:t>-.14</w:t>
            </w:r>
          </w:p>
        </w:tc>
        <w:tc>
          <w:tcPr>
            <w:tcW w:w="573" w:type="dxa"/>
            <w:shd w:val="clear" w:color="auto" w:fill="auto"/>
            <w:noWrap/>
          </w:tcPr>
          <w:p w14:paraId="24BCE99E" w14:textId="77777777" w:rsidR="00921AE8" w:rsidRPr="00605672" w:rsidRDefault="00921AE8" w:rsidP="004B0C26">
            <w:pPr>
              <w:jc w:val="right"/>
              <w:rPr>
                <w:rFonts w:eastAsia="Times New Roman"/>
                <w:color w:val="000000"/>
                <w:sz w:val="18"/>
                <w:szCs w:val="18"/>
              </w:rPr>
            </w:pPr>
            <w:r w:rsidRPr="00605672">
              <w:rPr>
                <w:sz w:val="18"/>
                <w:szCs w:val="18"/>
              </w:rPr>
              <w:t>-.18</w:t>
            </w:r>
          </w:p>
        </w:tc>
        <w:tc>
          <w:tcPr>
            <w:tcW w:w="573" w:type="dxa"/>
            <w:shd w:val="clear" w:color="auto" w:fill="auto"/>
            <w:noWrap/>
          </w:tcPr>
          <w:p w14:paraId="7E5B1D79" w14:textId="77777777" w:rsidR="00921AE8" w:rsidRPr="00605672" w:rsidRDefault="00921AE8" w:rsidP="004B0C26">
            <w:pPr>
              <w:jc w:val="right"/>
              <w:rPr>
                <w:rFonts w:eastAsia="Times New Roman"/>
                <w:color w:val="000000"/>
                <w:sz w:val="18"/>
                <w:szCs w:val="18"/>
              </w:rPr>
            </w:pPr>
            <w:r w:rsidRPr="00605672">
              <w:rPr>
                <w:sz w:val="18"/>
                <w:szCs w:val="18"/>
              </w:rPr>
              <w:t>.24</w:t>
            </w:r>
          </w:p>
        </w:tc>
        <w:tc>
          <w:tcPr>
            <w:tcW w:w="573" w:type="dxa"/>
            <w:shd w:val="clear" w:color="auto" w:fill="auto"/>
            <w:noWrap/>
          </w:tcPr>
          <w:p w14:paraId="0886AB50" w14:textId="77777777" w:rsidR="00921AE8" w:rsidRPr="00605672" w:rsidRDefault="00921AE8" w:rsidP="004B0C26">
            <w:pPr>
              <w:jc w:val="right"/>
              <w:rPr>
                <w:rFonts w:eastAsia="Times New Roman"/>
                <w:color w:val="000000"/>
                <w:sz w:val="18"/>
                <w:szCs w:val="18"/>
              </w:rPr>
            </w:pPr>
            <w:r w:rsidRPr="00605672">
              <w:rPr>
                <w:sz w:val="18"/>
                <w:szCs w:val="18"/>
              </w:rPr>
              <w:t>.22</w:t>
            </w:r>
          </w:p>
        </w:tc>
        <w:tc>
          <w:tcPr>
            <w:tcW w:w="572" w:type="dxa"/>
            <w:shd w:val="clear" w:color="auto" w:fill="auto"/>
            <w:noWrap/>
          </w:tcPr>
          <w:p w14:paraId="3166D562" w14:textId="77777777" w:rsidR="00921AE8" w:rsidRPr="00605672" w:rsidRDefault="00921AE8" w:rsidP="004B0C26">
            <w:pPr>
              <w:jc w:val="right"/>
              <w:rPr>
                <w:rFonts w:eastAsia="Times New Roman"/>
                <w:color w:val="000000"/>
                <w:sz w:val="18"/>
                <w:szCs w:val="18"/>
              </w:rPr>
            </w:pPr>
            <w:r w:rsidRPr="00605672">
              <w:rPr>
                <w:sz w:val="18"/>
                <w:szCs w:val="18"/>
              </w:rPr>
              <w:t>-</w:t>
            </w:r>
          </w:p>
        </w:tc>
        <w:tc>
          <w:tcPr>
            <w:tcW w:w="573" w:type="dxa"/>
            <w:shd w:val="clear" w:color="auto" w:fill="auto"/>
            <w:noWrap/>
          </w:tcPr>
          <w:p w14:paraId="5114E8B7" w14:textId="77777777" w:rsidR="00921AE8" w:rsidRPr="00605672" w:rsidRDefault="00921AE8" w:rsidP="004B0C26">
            <w:pPr>
              <w:jc w:val="right"/>
              <w:rPr>
                <w:rFonts w:eastAsia="Times New Roman"/>
                <w:color w:val="000000"/>
                <w:sz w:val="18"/>
                <w:szCs w:val="18"/>
              </w:rPr>
            </w:pPr>
          </w:p>
        </w:tc>
        <w:tc>
          <w:tcPr>
            <w:tcW w:w="573" w:type="dxa"/>
            <w:shd w:val="clear" w:color="auto" w:fill="auto"/>
            <w:noWrap/>
          </w:tcPr>
          <w:p w14:paraId="2A30A5B3" w14:textId="77777777" w:rsidR="00921AE8" w:rsidRPr="00605672" w:rsidRDefault="00921AE8" w:rsidP="004B0C26">
            <w:pPr>
              <w:rPr>
                <w:rFonts w:eastAsia="Times New Roman"/>
                <w:sz w:val="18"/>
                <w:szCs w:val="18"/>
              </w:rPr>
            </w:pPr>
          </w:p>
        </w:tc>
        <w:tc>
          <w:tcPr>
            <w:tcW w:w="573" w:type="dxa"/>
            <w:shd w:val="clear" w:color="auto" w:fill="auto"/>
            <w:noWrap/>
          </w:tcPr>
          <w:p w14:paraId="2751891D" w14:textId="77777777" w:rsidR="00921AE8" w:rsidRPr="00605672" w:rsidRDefault="00921AE8" w:rsidP="004B0C26">
            <w:pPr>
              <w:rPr>
                <w:rFonts w:eastAsia="Times New Roman"/>
                <w:sz w:val="18"/>
                <w:szCs w:val="18"/>
              </w:rPr>
            </w:pPr>
          </w:p>
        </w:tc>
        <w:tc>
          <w:tcPr>
            <w:tcW w:w="573" w:type="dxa"/>
            <w:shd w:val="clear" w:color="auto" w:fill="auto"/>
            <w:noWrap/>
          </w:tcPr>
          <w:p w14:paraId="7E05E324" w14:textId="77777777" w:rsidR="00921AE8" w:rsidRPr="00605672" w:rsidRDefault="00921AE8" w:rsidP="004B0C26">
            <w:pPr>
              <w:rPr>
                <w:rFonts w:eastAsia="Times New Roman"/>
                <w:sz w:val="18"/>
                <w:szCs w:val="18"/>
              </w:rPr>
            </w:pPr>
          </w:p>
        </w:tc>
      </w:tr>
      <w:tr w:rsidR="0062648F" w:rsidRPr="00605672" w14:paraId="22F89544" w14:textId="77777777" w:rsidTr="0062648F">
        <w:trPr>
          <w:trHeight w:val="227"/>
          <w:jc w:val="center"/>
        </w:trPr>
        <w:tc>
          <w:tcPr>
            <w:tcW w:w="4518" w:type="dxa"/>
            <w:shd w:val="clear" w:color="auto" w:fill="auto"/>
            <w:noWrap/>
          </w:tcPr>
          <w:p w14:paraId="5281F8C5" w14:textId="36C0DA72" w:rsidR="00921AE8" w:rsidRPr="00605672" w:rsidRDefault="00921AE8" w:rsidP="004B0C26">
            <w:pPr>
              <w:rPr>
                <w:rFonts w:eastAsia="Times New Roman"/>
                <w:color w:val="000000"/>
                <w:sz w:val="18"/>
                <w:szCs w:val="18"/>
              </w:rPr>
            </w:pPr>
            <w:r w:rsidRPr="00605672">
              <w:rPr>
                <w:rFonts w:eastAsia="Times New Roman"/>
                <w:color w:val="000000"/>
                <w:sz w:val="18"/>
                <w:szCs w:val="18"/>
              </w:rPr>
              <w:t xml:space="preserve">Supplier </w:t>
            </w:r>
            <w:r w:rsidR="00FC679E">
              <w:rPr>
                <w:rFonts w:eastAsia="Times New Roman"/>
                <w:color w:val="000000"/>
                <w:sz w:val="18"/>
                <w:szCs w:val="18"/>
              </w:rPr>
              <w:t>c</w:t>
            </w:r>
            <w:r w:rsidRPr="00605672">
              <w:rPr>
                <w:rFonts w:eastAsia="Times New Roman"/>
                <w:color w:val="000000"/>
                <w:sz w:val="18"/>
                <w:szCs w:val="18"/>
              </w:rPr>
              <w:t>ompetition</w:t>
            </w:r>
          </w:p>
        </w:tc>
        <w:tc>
          <w:tcPr>
            <w:tcW w:w="572" w:type="dxa"/>
            <w:shd w:val="clear" w:color="auto" w:fill="auto"/>
            <w:noWrap/>
          </w:tcPr>
          <w:p w14:paraId="5F3179BA" w14:textId="77777777" w:rsidR="00921AE8" w:rsidRPr="00605672" w:rsidRDefault="00921AE8" w:rsidP="004B0C26">
            <w:pPr>
              <w:jc w:val="right"/>
              <w:rPr>
                <w:rFonts w:eastAsia="Times New Roman"/>
                <w:color w:val="000000"/>
                <w:sz w:val="18"/>
                <w:szCs w:val="18"/>
              </w:rPr>
            </w:pPr>
            <w:r w:rsidRPr="00605672">
              <w:rPr>
                <w:sz w:val="18"/>
                <w:szCs w:val="18"/>
              </w:rPr>
              <w:t>-.03</w:t>
            </w:r>
          </w:p>
        </w:tc>
        <w:tc>
          <w:tcPr>
            <w:tcW w:w="573" w:type="dxa"/>
            <w:shd w:val="clear" w:color="auto" w:fill="auto"/>
            <w:noWrap/>
          </w:tcPr>
          <w:p w14:paraId="0817BE73" w14:textId="77777777" w:rsidR="00921AE8" w:rsidRPr="00605672" w:rsidRDefault="00921AE8" w:rsidP="004B0C26">
            <w:pPr>
              <w:jc w:val="right"/>
              <w:rPr>
                <w:rFonts w:eastAsia="Times New Roman"/>
                <w:color w:val="000000"/>
                <w:sz w:val="18"/>
                <w:szCs w:val="18"/>
              </w:rPr>
            </w:pPr>
            <w:r w:rsidRPr="00605672">
              <w:rPr>
                <w:sz w:val="18"/>
                <w:szCs w:val="18"/>
              </w:rPr>
              <w:t>-.04</w:t>
            </w:r>
          </w:p>
        </w:tc>
        <w:tc>
          <w:tcPr>
            <w:tcW w:w="573" w:type="dxa"/>
            <w:shd w:val="clear" w:color="auto" w:fill="auto"/>
            <w:noWrap/>
          </w:tcPr>
          <w:p w14:paraId="11F1E825" w14:textId="77777777" w:rsidR="00921AE8" w:rsidRPr="00605672" w:rsidRDefault="00921AE8" w:rsidP="004B0C26">
            <w:pPr>
              <w:jc w:val="right"/>
              <w:rPr>
                <w:rFonts w:eastAsia="Times New Roman"/>
                <w:color w:val="000000"/>
                <w:sz w:val="18"/>
                <w:szCs w:val="18"/>
              </w:rPr>
            </w:pPr>
            <w:r w:rsidRPr="00605672">
              <w:rPr>
                <w:sz w:val="18"/>
                <w:szCs w:val="18"/>
              </w:rPr>
              <w:t>.11</w:t>
            </w:r>
          </w:p>
        </w:tc>
        <w:tc>
          <w:tcPr>
            <w:tcW w:w="573" w:type="dxa"/>
            <w:shd w:val="clear" w:color="auto" w:fill="auto"/>
            <w:noWrap/>
          </w:tcPr>
          <w:p w14:paraId="086386EC" w14:textId="77777777" w:rsidR="00921AE8" w:rsidRPr="00605672" w:rsidRDefault="00921AE8" w:rsidP="004B0C26">
            <w:pPr>
              <w:jc w:val="right"/>
              <w:rPr>
                <w:rFonts w:eastAsia="Times New Roman"/>
                <w:color w:val="000000"/>
                <w:sz w:val="18"/>
                <w:szCs w:val="18"/>
              </w:rPr>
            </w:pPr>
            <w:r w:rsidRPr="00605672">
              <w:rPr>
                <w:sz w:val="18"/>
                <w:szCs w:val="18"/>
              </w:rPr>
              <w:t>.14</w:t>
            </w:r>
          </w:p>
        </w:tc>
        <w:tc>
          <w:tcPr>
            <w:tcW w:w="572" w:type="dxa"/>
            <w:shd w:val="clear" w:color="auto" w:fill="auto"/>
            <w:noWrap/>
          </w:tcPr>
          <w:p w14:paraId="6D3BB70A" w14:textId="77777777" w:rsidR="00921AE8" w:rsidRPr="00605672" w:rsidRDefault="00921AE8" w:rsidP="004B0C26">
            <w:pPr>
              <w:jc w:val="right"/>
              <w:rPr>
                <w:rFonts w:eastAsia="Times New Roman"/>
                <w:color w:val="000000"/>
                <w:sz w:val="18"/>
                <w:szCs w:val="18"/>
              </w:rPr>
            </w:pPr>
            <w:r w:rsidRPr="00605672">
              <w:rPr>
                <w:sz w:val="18"/>
                <w:szCs w:val="18"/>
              </w:rPr>
              <w:t>.11</w:t>
            </w:r>
          </w:p>
        </w:tc>
        <w:tc>
          <w:tcPr>
            <w:tcW w:w="573" w:type="dxa"/>
            <w:shd w:val="clear" w:color="auto" w:fill="auto"/>
            <w:noWrap/>
          </w:tcPr>
          <w:p w14:paraId="26E9FA63" w14:textId="77777777" w:rsidR="00921AE8" w:rsidRPr="00605672" w:rsidRDefault="00921AE8" w:rsidP="004B0C26">
            <w:pPr>
              <w:jc w:val="right"/>
              <w:rPr>
                <w:rFonts w:eastAsia="Times New Roman"/>
                <w:color w:val="000000"/>
                <w:sz w:val="18"/>
                <w:szCs w:val="18"/>
              </w:rPr>
            </w:pPr>
            <w:r w:rsidRPr="00605672">
              <w:rPr>
                <w:sz w:val="18"/>
                <w:szCs w:val="18"/>
              </w:rPr>
              <w:t>.00</w:t>
            </w:r>
          </w:p>
        </w:tc>
        <w:tc>
          <w:tcPr>
            <w:tcW w:w="573" w:type="dxa"/>
            <w:shd w:val="clear" w:color="auto" w:fill="auto"/>
            <w:noWrap/>
          </w:tcPr>
          <w:p w14:paraId="79377643" w14:textId="77777777" w:rsidR="00921AE8" w:rsidRPr="00605672" w:rsidRDefault="00921AE8" w:rsidP="004B0C26">
            <w:pPr>
              <w:jc w:val="right"/>
              <w:rPr>
                <w:rFonts w:eastAsia="Times New Roman"/>
                <w:color w:val="000000"/>
                <w:sz w:val="18"/>
                <w:szCs w:val="18"/>
              </w:rPr>
            </w:pPr>
            <w:r w:rsidRPr="00605672">
              <w:rPr>
                <w:sz w:val="18"/>
                <w:szCs w:val="18"/>
              </w:rPr>
              <w:t>.14</w:t>
            </w:r>
          </w:p>
        </w:tc>
        <w:tc>
          <w:tcPr>
            <w:tcW w:w="573" w:type="dxa"/>
            <w:shd w:val="clear" w:color="auto" w:fill="auto"/>
            <w:noWrap/>
          </w:tcPr>
          <w:p w14:paraId="5FC0E16C" w14:textId="77777777" w:rsidR="00921AE8" w:rsidRPr="00605672" w:rsidRDefault="00921AE8" w:rsidP="004B0C26">
            <w:pPr>
              <w:jc w:val="right"/>
              <w:rPr>
                <w:rFonts w:eastAsia="Times New Roman"/>
                <w:color w:val="000000"/>
                <w:sz w:val="18"/>
                <w:szCs w:val="18"/>
              </w:rPr>
            </w:pPr>
            <w:r w:rsidRPr="00605672">
              <w:rPr>
                <w:sz w:val="18"/>
                <w:szCs w:val="18"/>
              </w:rPr>
              <w:t>.38</w:t>
            </w:r>
          </w:p>
        </w:tc>
        <w:tc>
          <w:tcPr>
            <w:tcW w:w="572" w:type="dxa"/>
            <w:shd w:val="clear" w:color="auto" w:fill="auto"/>
            <w:noWrap/>
          </w:tcPr>
          <w:p w14:paraId="0594DA75" w14:textId="77777777" w:rsidR="00921AE8" w:rsidRPr="00605672" w:rsidRDefault="00921AE8" w:rsidP="004B0C26">
            <w:pPr>
              <w:jc w:val="right"/>
              <w:rPr>
                <w:rFonts w:eastAsia="Times New Roman"/>
                <w:color w:val="000000"/>
                <w:sz w:val="18"/>
                <w:szCs w:val="18"/>
              </w:rPr>
            </w:pPr>
            <w:r w:rsidRPr="00605672">
              <w:rPr>
                <w:sz w:val="18"/>
                <w:szCs w:val="18"/>
              </w:rPr>
              <w:t>.15</w:t>
            </w:r>
          </w:p>
        </w:tc>
        <w:tc>
          <w:tcPr>
            <w:tcW w:w="573" w:type="dxa"/>
            <w:shd w:val="clear" w:color="auto" w:fill="auto"/>
            <w:noWrap/>
          </w:tcPr>
          <w:p w14:paraId="3A8D7566" w14:textId="77777777" w:rsidR="00921AE8" w:rsidRPr="00605672" w:rsidRDefault="00921AE8" w:rsidP="004B0C26">
            <w:pPr>
              <w:jc w:val="right"/>
              <w:rPr>
                <w:rFonts w:eastAsia="Times New Roman"/>
                <w:color w:val="000000"/>
                <w:sz w:val="18"/>
                <w:szCs w:val="18"/>
              </w:rPr>
            </w:pPr>
            <w:r w:rsidRPr="00605672">
              <w:rPr>
                <w:sz w:val="18"/>
                <w:szCs w:val="18"/>
              </w:rPr>
              <w:t>-.04</w:t>
            </w:r>
          </w:p>
        </w:tc>
        <w:tc>
          <w:tcPr>
            <w:tcW w:w="573" w:type="dxa"/>
            <w:shd w:val="clear" w:color="auto" w:fill="auto"/>
            <w:noWrap/>
          </w:tcPr>
          <w:p w14:paraId="5FDD9B0D" w14:textId="77777777" w:rsidR="00921AE8" w:rsidRPr="00605672" w:rsidRDefault="00921AE8" w:rsidP="004B0C26">
            <w:pPr>
              <w:jc w:val="right"/>
              <w:rPr>
                <w:rFonts w:eastAsia="Times New Roman"/>
                <w:color w:val="000000"/>
                <w:sz w:val="18"/>
                <w:szCs w:val="18"/>
              </w:rPr>
            </w:pPr>
            <w:r w:rsidRPr="00605672">
              <w:rPr>
                <w:sz w:val="18"/>
                <w:szCs w:val="18"/>
              </w:rPr>
              <w:t>.07</w:t>
            </w:r>
          </w:p>
        </w:tc>
        <w:tc>
          <w:tcPr>
            <w:tcW w:w="573" w:type="dxa"/>
            <w:shd w:val="clear" w:color="auto" w:fill="auto"/>
            <w:noWrap/>
          </w:tcPr>
          <w:p w14:paraId="5392291F" w14:textId="77777777" w:rsidR="00921AE8" w:rsidRPr="00605672" w:rsidRDefault="00921AE8" w:rsidP="004B0C26">
            <w:pPr>
              <w:jc w:val="right"/>
              <w:rPr>
                <w:rFonts w:eastAsia="Times New Roman"/>
                <w:color w:val="000000"/>
                <w:sz w:val="18"/>
                <w:szCs w:val="18"/>
              </w:rPr>
            </w:pPr>
            <w:r w:rsidRPr="00605672">
              <w:rPr>
                <w:sz w:val="18"/>
                <w:szCs w:val="18"/>
              </w:rPr>
              <w:t>.06</w:t>
            </w:r>
          </w:p>
        </w:tc>
        <w:tc>
          <w:tcPr>
            <w:tcW w:w="572" w:type="dxa"/>
            <w:shd w:val="clear" w:color="auto" w:fill="auto"/>
            <w:noWrap/>
          </w:tcPr>
          <w:p w14:paraId="29407D94" w14:textId="77777777" w:rsidR="00921AE8" w:rsidRPr="00605672" w:rsidRDefault="00921AE8" w:rsidP="004B0C26">
            <w:pPr>
              <w:jc w:val="right"/>
              <w:rPr>
                <w:rFonts w:eastAsia="Times New Roman"/>
                <w:color w:val="000000"/>
                <w:sz w:val="18"/>
                <w:szCs w:val="18"/>
              </w:rPr>
            </w:pPr>
            <w:r w:rsidRPr="00605672">
              <w:rPr>
                <w:sz w:val="18"/>
                <w:szCs w:val="18"/>
              </w:rPr>
              <w:t>-.07</w:t>
            </w:r>
          </w:p>
        </w:tc>
        <w:tc>
          <w:tcPr>
            <w:tcW w:w="573" w:type="dxa"/>
            <w:shd w:val="clear" w:color="auto" w:fill="auto"/>
            <w:noWrap/>
          </w:tcPr>
          <w:p w14:paraId="2A1E5F26" w14:textId="77777777" w:rsidR="00921AE8" w:rsidRPr="00605672" w:rsidRDefault="00921AE8" w:rsidP="004B0C26">
            <w:pPr>
              <w:jc w:val="right"/>
              <w:rPr>
                <w:rFonts w:eastAsia="Times New Roman"/>
                <w:color w:val="000000"/>
                <w:sz w:val="18"/>
                <w:szCs w:val="18"/>
              </w:rPr>
            </w:pPr>
            <w:r w:rsidRPr="00605672">
              <w:rPr>
                <w:sz w:val="18"/>
                <w:szCs w:val="18"/>
              </w:rPr>
              <w:t>-</w:t>
            </w:r>
          </w:p>
        </w:tc>
        <w:tc>
          <w:tcPr>
            <w:tcW w:w="573" w:type="dxa"/>
            <w:shd w:val="clear" w:color="auto" w:fill="auto"/>
            <w:noWrap/>
          </w:tcPr>
          <w:p w14:paraId="6A34FA1C" w14:textId="77777777" w:rsidR="00921AE8" w:rsidRPr="00605672" w:rsidRDefault="00921AE8" w:rsidP="004B0C26">
            <w:pPr>
              <w:jc w:val="right"/>
              <w:rPr>
                <w:rFonts w:eastAsia="Times New Roman"/>
                <w:color w:val="000000"/>
                <w:sz w:val="18"/>
                <w:szCs w:val="18"/>
              </w:rPr>
            </w:pPr>
          </w:p>
        </w:tc>
        <w:tc>
          <w:tcPr>
            <w:tcW w:w="573" w:type="dxa"/>
            <w:shd w:val="clear" w:color="auto" w:fill="auto"/>
            <w:noWrap/>
          </w:tcPr>
          <w:p w14:paraId="0D6C050D" w14:textId="77777777" w:rsidR="00921AE8" w:rsidRPr="00605672" w:rsidRDefault="00921AE8" w:rsidP="004B0C26">
            <w:pPr>
              <w:rPr>
                <w:rFonts w:eastAsia="Times New Roman"/>
                <w:sz w:val="18"/>
                <w:szCs w:val="18"/>
              </w:rPr>
            </w:pPr>
          </w:p>
        </w:tc>
        <w:tc>
          <w:tcPr>
            <w:tcW w:w="573" w:type="dxa"/>
            <w:shd w:val="clear" w:color="auto" w:fill="auto"/>
            <w:noWrap/>
          </w:tcPr>
          <w:p w14:paraId="040A8763" w14:textId="77777777" w:rsidR="00921AE8" w:rsidRPr="00605672" w:rsidRDefault="00921AE8" w:rsidP="004B0C26">
            <w:pPr>
              <w:rPr>
                <w:rFonts w:eastAsia="Times New Roman"/>
                <w:sz w:val="18"/>
                <w:szCs w:val="18"/>
              </w:rPr>
            </w:pPr>
          </w:p>
        </w:tc>
      </w:tr>
      <w:tr w:rsidR="0062648F" w:rsidRPr="00605672" w14:paraId="70556322" w14:textId="77777777" w:rsidTr="0062648F">
        <w:trPr>
          <w:trHeight w:val="227"/>
          <w:jc w:val="center"/>
        </w:trPr>
        <w:tc>
          <w:tcPr>
            <w:tcW w:w="4518" w:type="dxa"/>
            <w:shd w:val="clear" w:color="auto" w:fill="auto"/>
            <w:noWrap/>
          </w:tcPr>
          <w:p w14:paraId="3583234D" w14:textId="1F891125" w:rsidR="00921AE8" w:rsidRPr="00605672" w:rsidRDefault="00921AE8" w:rsidP="004B0C26">
            <w:pPr>
              <w:rPr>
                <w:rFonts w:eastAsia="Times New Roman"/>
                <w:color w:val="000000"/>
                <w:sz w:val="18"/>
                <w:szCs w:val="18"/>
              </w:rPr>
            </w:pPr>
            <w:r w:rsidRPr="00605672">
              <w:rPr>
                <w:rFonts w:eastAsia="Times New Roman"/>
                <w:color w:val="000000"/>
                <w:sz w:val="18"/>
                <w:szCs w:val="18"/>
              </w:rPr>
              <w:t xml:space="preserve">Reseller </w:t>
            </w:r>
            <w:r w:rsidR="00FC679E">
              <w:rPr>
                <w:rFonts w:eastAsia="Times New Roman"/>
                <w:color w:val="000000"/>
                <w:sz w:val="18"/>
                <w:szCs w:val="18"/>
              </w:rPr>
              <w:t>c</w:t>
            </w:r>
            <w:r w:rsidRPr="00605672">
              <w:rPr>
                <w:rFonts w:eastAsia="Times New Roman"/>
                <w:color w:val="000000"/>
                <w:sz w:val="18"/>
                <w:szCs w:val="18"/>
              </w:rPr>
              <w:t>ompetition</w:t>
            </w:r>
          </w:p>
        </w:tc>
        <w:tc>
          <w:tcPr>
            <w:tcW w:w="572" w:type="dxa"/>
            <w:shd w:val="clear" w:color="auto" w:fill="auto"/>
            <w:noWrap/>
          </w:tcPr>
          <w:p w14:paraId="02EE1366" w14:textId="77777777" w:rsidR="00921AE8" w:rsidRPr="00605672" w:rsidRDefault="00921AE8" w:rsidP="004B0C26">
            <w:pPr>
              <w:jc w:val="right"/>
              <w:rPr>
                <w:rFonts w:eastAsia="Times New Roman"/>
                <w:color w:val="000000"/>
                <w:sz w:val="18"/>
                <w:szCs w:val="18"/>
              </w:rPr>
            </w:pPr>
            <w:r w:rsidRPr="00605672">
              <w:rPr>
                <w:sz w:val="18"/>
                <w:szCs w:val="18"/>
              </w:rPr>
              <w:t>.05</w:t>
            </w:r>
          </w:p>
        </w:tc>
        <w:tc>
          <w:tcPr>
            <w:tcW w:w="573" w:type="dxa"/>
            <w:shd w:val="clear" w:color="auto" w:fill="auto"/>
            <w:noWrap/>
          </w:tcPr>
          <w:p w14:paraId="026ADC0B" w14:textId="77777777" w:rsidR="00921AE8" w:rsidRPr="00605672" w:rsidRDefault="00921AE8" w:rsidP="004B0C26">
            <w:pPr>
              <w:jc w:val="right"/>
              <w:rPr>
                <w:rFonts w:eastAsia="Times New Roman"/>
                <w:color w:val="000000"/>
                <w:sz w:val="18"/>
                <w:szCs w:val="18"/>
              </w:rPr>
            </w:pPr>
            <w:r w:rsidRPr="00605672">
              <w:rPr>
                <w:sz w:val="18"/>
                <w:szCs w:val="18"/>
              </w:rPr>
              <w:t>.17</w:t>
            </w:r>
          </w:p>
        </w:tc>
        <w:tc>
          <w:tcPr>
            <w:tcW w:w="573" w:type="dxa"/>
            <w:shd w:val="clear" w:color="auto" w:fill="auto"/>
            <w:noWrap/>
          </w:tcPr>
          <w:p w14:paraId="58883703" w14:textId="77777777" w:rsidR="00921AE8" w:rsidRPr="00605672" w:rsidRDefault="00921AE8" w:rsidP="004B0C26">
            <w:pPr>
              <w:jc w:val="right"/>
              <w:rPr>
                <w:rFonts w:eastAsia="Times New Roman"/>
                <w:color w:val="000000"/>
                <w:sz w:val="18"/>
                <w:szCs w:val="18"/>
              </w:rPr>
            </w:pPr>
            <w:r w:rsidRPr="00605672">
              <w:rPr>
                <w:sz w:val="18"/>
                <w:szCs w:val="18"/>
              </w:rPr>
              <w:t>.12</w:t>
            </w:r>
          </w:p>
        </w:tc>
        <w:tc>
          <w:tcPr>
            <w:tcW w:w="573" w:type="dxa"/>
            <w:shd w:val="clear" w:color="auto" w:fill="auto"/>
            <w:noWrap/>
          </w:tcPr>
          <w:p w14:paraId="7CB35495" w14:textId="77777777" w:rsidR="00921AE8" w:rsidRPr="00605672" w:rsidRDefault="00921AE8" w:rsidP="004B0C26">
            <w:pPr>
              <w:jc w:val="right"/>
              <w:rPr>
                <w:rFonts w:eastAsia="Times New Roman"/>
                <w:color w:val="000000"/>
                <w:sz w:val="18"/>
                <w:szCs w:val="18"/>
              </w:rPr>
            </w:pPr>
            <w:r w:rsidRPr="00605672">
              <w:rPr>
                <w:sz w:val="18"/>
                <w:szCs w:val="18"/>
              </w:rPr>
              <w:t>.15</w:t>
            </w:r>
          </w:p>
        </w:tc>
        <w:tc>
          <w:tcPr>
            <w:tcW w:w="572" w:type="dxa"/>
            <w:shd w:val="clear" w:color="auto" w:fill="auto"/>
            <w:noWrap/>
          </w:tcPr>
          <w:p w14:paraId="06C0E346" w14:textId="77777777" w:rsidR="00921AE8" w:rsidRPr="00605672" w:rsidRDefault="00921AE8" w:rsidP="004B0C26">
            <w:pPr>
              <w:jc w:val="right"/>
              <w:rPr>
                <w:rFonts w:eastAsia="Times New Roman"/>
                <w:color w:val="000000"/>
                <w:sz w:val="18"/>
                <w:szCs w:val="18"/>
              </w:rPr>
            </w:pPr>
            <w:r w:rsidRPr="00605672">
              <w:rPr>
                <w:sz w:val="18"/>
                <w:szCs w:val="18"/>
              </w:rPr>
              <w:t>.12</w:t>
            </w:r>
          </w:p>
        </w:tc>
        <w:tc>
          <w:tcPr>
            <w:tcW w:w="573" w:type="dxa"/>
            <w:shd w:val="clear" w:color="auto" w:fill="auto"/>
            <w:noWrap/>
          </w:tcPr>
          <w:p w14:paraId="30DBB3BF" w14:textId="77777777" w:rsidR="00921AE8" w:rsidRPr="00605672" w:rsidRDefault="00921AE8" w:rsidP="004B0C26">
            <w:pPr>
              <w:jc w:val="right"/>
              <w:rPr>
                <w:rFonts w:eastAsia="Times New Roman"/>
                <w:color w:val="000000"/>
                <w:sz w:val="18"/>
                <w:szCs w:val="18"/>
              </w:rPr>
            </w:pPr>
            <w:r w:rsidRPr="00605672">
              <w:rPr>
                <w:sz w:val="18"/>
                <w:szCs w:val="18"/>
              </w:rPr>
              <w:t>.28</w:t>
            </w:r>
          </w:p>
        </w:tc>
        <w:tc>
          <w:tcPr>
            <w:tcW w:w="573" w:type="dxa"/>
            <w:shd w:val="clear" w:color="auto" w:fill="auto"/>
            <w:noWrap/>
          </w:tcPr>
          <w:p w14:paraId="778B6C84" w14:textId="77777777" w:rsidR="00921AE8" w:rsidRPr="00605672" w:rsidRDefault="00921AE8" w:rsidP="004B0C26">
            <w:pPr>
              <w:jc w:val="right"/>
              <w:rPr>
                <w:rFonts w:eastAsia="Times New Roman"/>
                <w:color w:val="000000"/>
                <w:sz w:val="18"/>
                <w:szCs w:val="18"/>
              </w:rPr>
            </w:pPr>
            <w:r w:rsidRPr="00605672">
              <w:rPr>
                <w:sz w:val="18"/>
                <w:szCs w:val="18"/>
              </w:rPr>
              <w:t>.05</w:t>
            </w:r>
          </w:p>
        </w:tc>
        <w:tc>
          <w:tcPr>
            <w:tcW w:w="573" w:type="dxa"/>
            <w:shd w:val="clear" w:color="auto" w:fill="auto"/>
            <w:noWrap/>
          </w:tcPr>
          <w:p w14:paraId="3ACF04C1" w14:textId="77777777" w:rsidR="00921AE8" w:rsidRPr="00605672" w:rsidRDefault="00921AE8" w:rsidP="004B0C26">
            <w:pPr>
              <w:jc w:val="right"/>
              <w:rPr>
                <w:rFonts w:eastAsia="Times New Roman"/>
                <w:color w:val="000000"/>
                <w:sz w:val="18"/>
                <w:szCs w:val="18"/>
              </w:rPr>
            </w:pPr>
            <w:r w:rsidRPr="00605672">
              <w:rPr>
                <w:sz w:val="18"/>
                <w:szCs w:val="18"/>
              </w:rPr>
              <w:t>.23</w:t>
            </w:r>
          </w:p>
        </w:tc>
        <w:tc>
          <w:tcPr>
            <w:tcW w:w="572" w:type="dxa"/>
            <w:shd w:val="clear" w:color="auto" w:fill="auto"/>
            <w:noWrap/>
          </w:tcPr>
          <w:p w14:paraId="32F6433F" w14:textId="77777777" w:rsidR="00921AE8" w:rsidRPr="00605672" w:rsidRDefault="00921AE8" w:rsidP="004B0C26">
            <w:pPr>
              <w:jc w:val="right"/>
              <w:rPr>
                <w:rFonts w:eastAsia="Times New Roman"/>
                <w:color w:val="000000"/>
                <w:sz w:val="18"/>
                <w:szCs w:val="18"/>
              </w:rPr>
            </w:pPr>
            <w:r w:rsidRPr="00605672">
              <w:rPr>
                <w:sz w:val="18"/>
                <w:szCs w:val="18"/>
              </w:rPr>
              <w:t>-.07</w:t>
            </w:r>
          </w:p>
        </w:tc>
        <w:tc>
          <w:tcPr>
            <w:tcW w:w="573" w:type="dxa"/>
            <w:shd w:val="clear" w:color="auto" w:fill="auto"/>
            <w:noWrap/>
          </w:tcPr>
          <w:p w14:paraId="2C7E8747" w14:textId="77777777" w:rsidR="00921AE8" w:rsidRPr="00605672" w:rsidRDefault="00921AE8" w:rsidP="004B0C26">
            <w:pPr>
              <w:jc w:val="right"/>
              <w:rPr>
                <w:rFonts w:eastAsia="Times New Roman"/>
                <w:color w:val="000000"/>
                <w:sz w:val="18"/>
                <w:szCs w:val="18"/>
              </w:rPr>
            </w:pPr>
            <w:r w:rsidRPr="00605672">
              <w:rPr>
                <w:sz w:val="18"/>
                <w:szCs w:val="18"/>
              </w:rPr>
              <w:t>.12</w:t>
            </w:r>
          </w:p>
        </w:tc>
        <w:tc>
          <w:tcPr>
            <w:tcW w:w="573" w:type="dxa"/>
            <w:shd w:val="clear" w:color="auto" w:fill="auto"/>
            <w:noWrap/>
          </w:tcPr>
          <w:p w14:paraId="0D187BE6" w14:textId="77777777" w:rsidR="00921AE8" w:rsidRPr="00605672" w:rsidRDefault="00921AE8" w:rsidP="004B0C26">
            <w:pPr>
              <w:jc w:val="right"/>
              <w:rPr>
                <w:rFonts w:eastAsia="Times New Roman"/>
                <w:color w:val="000000"/>
                <w:sz w:val="18"/>
                <w:szCs w:val="18"/>
              </w:rPr>
            </w:pPr>
            <w:r w:rsidRPr="00605672">
              <w:rPr>
                <w:sz w:val="18"/>
                <w:szCs w:val="18"/>
              </w:rPr>
              <w:t>.14</w:t>
            </w:r>
          </w:p>
        </w:tc>
        <w:tc>
          <w:tcPr>
            <w:tcW w:w="573" w:type="dxa"/>
            <w:shd w:val="clear" w:color="auto" w:fill="auto"/>
            <w:noWrap/>
          </w:tcPr>
          <w:p w14:paraId="7F55D681" w14:textId="77777777" w:rsidR="00921AE8" w:rsidRPr="00605672" w:rsidRDefault="00921AE8" w:rsidP="004B0C26">
            <w:pPr>
              <w:jc w:val="right"/>
              <w:rPr>
                <w:rFonts w:eastAsia="Times New Roman"/>
                <w:color w:val="000000"/>
                <w:sz w:val="18"/>
                <w:szCs w:val="18"/>
              </w:rPr>
            </w:pPr>
            <w:r w:rsidRPr="00605672">
              <w:rPr>
                <w:sz w:val="18"/>
                <w:szCs w:val="18"/>
              </w:rPr>
              <w:t>.02</w:t>
            </w:r>
          </w:p>
        </w:tc>
        <w:tc>
          <w:tcPr>
            <w:tcW w:w="572" w:type="dxa"/>
            <w:shd w:val="clear" w:color="auto" w:fill="auto"/>
            <w:noWrap/>
          </w:tcPr>
          <w:p w14:paraId="1B131CA9" w14:textId="77777777" w:rsidR="00921AE8" w:rsidRPr="00605672" w:rsidRDefault="00921AE8" w:rsidP="004B0C26">
            <w:pPr>
              <w:jc w:val="right"/>
              <w:rPr>
                <w:rFonts w:eastAsia="Times New Roman"/>
                <w:color w:val="000000"/>
                <w:sz w:val="18"/>
                <w:szCs w:val="18"/>
              </w:rPr>
            </w:pPr>
            <w:r w:rsidRPr="00605672">
              <w:rPr>
                <w:sz w:val="18"/>
                <w:szCs w:val="18"/>
              </w:rPr>
              <w:t>-.13</w:t>
            </w:r>
          </w:p>
        </w:tc>
        <w:tc>
          <w:tcPr>
            <w:tcW w:w="573" w:type="dxa"/>
            <w:shd w:val="clear" w:color="auto" w:fill="auto"/>
            <w:noWrap/>
          </w:tcPr>
          <w:p w14:paraId="473F345E" w14:textId="77777777" w:rsidR="00921AE8" w:rsidRPr="00605672" w:rsidRDefault="00921AE8" w:rsidP="004B0C26">
            <w:pPr>
              <w:jc w:val="right"/>
              <w:rPr>
                <w:rFonts w:eastAsia="Times New Roman"/>
                <w:color w:val="000000"/>
                <w:sz w:val="18"/>
                <w:szCs w:val="18"/>
              </w:rPr>
            </w:pPr>
            <w:r w:rsidRPr="00605672">
              <w:rPr>
                <w:sz w:val="18"/>
                <w:szCs w:val="18"/>
              </w:rPr>
              <w:t>.08</w:t>
            </w:r>
          </w:p>
        </w:tc>
        <w:tc>
          <w:tcPr>
            <w:tcW w:w="573" w:type="dxa"/>
            <w:shd w:val="clear" w:color="auto" w:fill="auto"/>
            <w:noWrap/>
          </w:tcPr>
          <w:p w14:paraId="5EC8E418" w14:textId="77777777" w:rsidR="00921AE8" w:rsidRPr="00605672" w:rsidRDefault="00921AE8" w:rsidP="004B0C26">
            <w:pPr>
              <w:jc w:val="right"/>
              <w:rPr>
                <w:rFonts w:eastAsia="Times New Roman"/>
                <w:color w:val="000000"/>
                <w:sz w:val="18"/>
                <w:szCs w:val="18"/>
              </w:rPr>
            </w:pPr>
            <w:r w:rsidRPr="00605672">
              <w:rPr>
                <w:sz w:val="18"/>
                <w:szCs w:val="18"/>
              </w:rPr>
              <w:t>-</w:t>
            </w:r>
          </w:p>
        </w:tc>
        <w:tc>
          <w:tcPr>
            <w:tcW w:w="573" w:type="dxa"/>
            <w:shd w:val="clear" w:color="auto" w:fill="auto"/>
            <w:noWrap/>
          </w:tcPr>
          <w:p w14:paraId="5BE366C7" w14:textId="77777777" w:rsidR="00921AE8" w:rsidRPr="00605672" w:rsidRDefault="00921AE8" w:rsidP="004B0C26">
            <w:pPr>
              <w:jc w:val="right"/>
              <w:rPr>
                <w:rFonts w:eastAsia="Times New Roman"/>
                <w:color w:val="000000"/>
                <w:sz w:val="18"/>
                <w:szCs w:val="18"/>
              </w:rPr>
            </w:pPr>
          </w:p>
        </w:tc>
        <w:tc>
          <w:tcPr>
            <w:tcW w:w="573" w:type="dxa"/>
            <w:shd w:val="clear" w:color="auto" w:fill="auto"/>
            <w:noWrap/>
          </w:tcPr>
          <w:p w14:paraId="3DEAB603" w14:textId="77777777" w:rsidR="00921AE8" w:rsidRPr="00605672" w:rsidRDefault="00921AE8" w:rsidP="004B0C26">
            <w:pPr>
              <w:rPr>
                <w:rFonts w:eastAsia="Times New Roman"/>
                <w:sz w:val="18"/>
                <w:szCs w:val="18"/>
              </w:rPr>
            </w:pPr>
          </w:p>
        </w:tc>
      </w:tr>
      <w:tr w:rsidR="0062648F" w:rsidRPr="00605672" w14:paraId="66336C53" w14:textId="77777777" w:rsidTr="0062648F">
        <w:trPr>
          <w:trHeight w:val="227"/>
          <w:jc w:val="center"/>
        </w:trPr>
        <w:tc>
          <w:tcPr>
            <w:tcW w:w="4518" w:type="dxa"/>
            <w:shd w:val="clear" w:color="auto" w:fill="auto"/>
            <w:noWrap/>
          </w:tcPr>
          <w:p w14:paraId="16C90B96" w14:textId="68638817" w:rsidR="00921AE8" w:rsidRPr="00605672" w:rsidRDefault="00921AE8" w:rsidP="00FC679E">
            <w:pPr>
              <w:rPr>
                <w:rFonts w:eastAsia="Times New Roman"/>
                <w:color w:val="000000"/>
                <w:sz w:val="18"/>
                <w:szCs w:val="18"/>
              </w:rPr>
            </w:pPr>
            <w:r w:rsidRPr="00605672">
              <w:rPr>
                <w:rFonts w:eastAsia="Times New Roman"/>
                <w:color w:val="000000"/>
                <w:sz w:val="18"/>
                <w:szCs w:val="18"/>
              </w:rPr>
              <w:t xml:space="preserve">Relative </w:t>
            </w:r>
            <w:r w:rsidR="00FC679E">
              <w:rPr>
                <w:rFonts w:eastAsia="Times New Roman"/>
                <w:color w:val="000000"/>
                <w:sz w:val="18"/>
                <w:szCs w:val="18"/>
              </w:rPr>
              <w:t>s</w:t>
            </w:r>
            <w:r w:rsidR="00B0066E" w:rsidRPr="00605672">
              <w:rPr>
                <w:rFonts w:eastAsia="Times New Roman"/>
                <w:color w:val="000000"/>
                <w:sz w:val="18"/>
                <w:szCs w:val="18"/>
              </w:rPr>
              <w:t>ize</w:t>
            </w:r>
          </w:p>
        </w:tc>
        <w:tc>
          <w:tcPr>
            <w:tcW w:w="572" w:type="dxa"/>
            <w:shd w:val="clear" w:color="auto" w:fill="auto"/>
            <w:noWrap/>
          </w:tcPr>
          <w:p w14:paraId="39CE3343" w14:textId="77777777" w:rsidR="00921AE8" w:rsidRPr="00605672" w:rsidRDefault="00921AE8" w:rsidP="004B0C26">
            <w:pPr>
              <w:jc w:val="right"/>
              <w:rPr>
                <w:rFonts w:eastAsia="Times New Roman"/>
                <w:color w:val="000000"/>
                <w:sz w:val="18"/>
                <w:szCs w:val="18"/>
              </w:rPr>
            </w:pPr>
            <w:r w:rsidRPr="00605672">
              <w:rPr>
                <w:sz w:val="18"/>
                <w:szCs w:val="18"/>
              </w:rPr>
              <w:t>.19</w:t>
            </w:r>
          </w:p>
        </w:tc>
        <w:tc>
          <w:tcPr>
            <w:tcW w:w="573" w:type="dxa"/>
            <w:shd w:val="clear" w:color="auto" w:fill="auto"/>
            <w:noWrap/>
          </w:tcPr>
          <w:p w14:paraId="36916CE7" w14:textId="77777777" w:rsidR="00921AE8" w:rsidRPr="00605672" w:rsidRDefault="00921AE8" w:rsidP="004B0C26">
            <w:pPr>
              <w:jc w:val="right"/>
              <w:rPr>
                <w:rFonts w:eastAsia="Times New Roman"/>
                <w:color w:val="000000"/>
                <w:sz w:val="18"/>
                <w:szCs w:val="18"/>
              </w:rPr>
            </w:pPr>
            <w:r w:rsidRPr="00605672">
              <w:rPr>
                <w:sz w:val="18"/>
                <w:szCs w:val="18"/>
              </w:rPr>
              <w:t>.14</w:t>
            </w:r>
          </w:p>
        </w:tc>
        <w:tc>
          <w:tcPr>
            <w:tcW w:w="573" w:type="dxa"/>
            <w:shd w:val="clear" w:color="auto" w:fill="auto"/>
            <w:noWrap/>
          </w:tcPr>
          <w:p w14:paraId="040BB26A" w14:textId="77777777" w:rsidR="00921AE8" w:rsidRPr="00605672" w:rsidRDefault="00921AE8" w:rsidP="004B0C26">
            <w:pPr>
              <w:jc w:val="right"/>
              <w:rPr>
                <w:rFonts w:eastAsia="Times New Roman"/>
                <w:color w:val="000000"/>
                <w:sz w:val="18"/>
                <w:szCs w:val="18"/>
              </w:rPr>
            </w:pPr>
            <w:r w:rsidRPr="00605672">
              <w:rPr>
                <w:sz w:val="18"/>
                <w:szCs w:val="18"/>
              </w:rPr>
              <w:t>.19</w:t>
            </w:r>
          </w:p>
        </w:tc>
        <w:tc>
          <w:tcPr>
            <w:tcW w:w="573" w:type="dxa"/>
            <w:shd w:val="clear" w:color="auto" w:fill="auto"/>
            <w:noWrap/>
          </w:tcPr>
          <w:p w14:paraId="4FC82D7A" w14:textId="77777777" w:rsidR="00921AE8" w:rsidRPr="00605672" w:rsidRDefault="00921AE8" w:rsidP="004B0C26">
            <w:pPr>
              <w:jc w:val="right"/>
              <w:rPr>
                <w:rFonts w:eastAsia="Times New Roman"/>
                <w:color w:val="000000"/>
                <w:sz w:val="18"/>
                <w:szCs w:val="18"/>
              </w:rPr>
            </w:pPr>
            <w:r w:rsidRPr="00605672">
              <w:rPr>
                <w:sz w:val="18"/>
                <w:szCs w:val="18"/>
              </w:rPr>
              <w:t>-.20</w:t>
            </w:r>
          </w:p>
        </w:tc>
        <w:tc>
          <w:tcPr>
            <w:tcW w:w="572" w:type="dxa"/>
            <w:shd w:val="clear" w:color="auto" w:fill="auto"/>
            <w:noWrap/>
          </w:tcPr>
          <w:p w14:paraId="4D857829" w14:textId="77777777" w:rsidR="00921AE8" w:rsidRPr="00605672" w:rsidRDefault="00921AE8" w:rsidP="004B0C26">
            <w:pPr>
              <w:jc w:val="right"/>
              <w:rPr>
                <w:rFonts w:eastAsia="Times New Roman"/>
                <w:color w:val="000000"/>
                <w:sz w:val="18"/>
                <w:szCs w:val="18"/>
              </w:rPr>
            </w:pPr>
            <w:r w:rsidRPr="00605672">
              <w:rPr>
                <w:sz w:val="18"/>
                <w:szCs w:val="18"/>
              </w:rPr>
              <w:t>.19</w:t>
            </w:r>
          </w:p>
        </w:tc>
        <w:tc>
          <w:tcPr>
            <w:tcW w:w="573" w:type="dxa"/>
            <w:shd w:val="clear" w:color="auto" w:fill="auto"/>
            <w:noWrap/>
          </w:tcPr>
          <w:p w14:paraId="145FAABE" w14:textId="77777777" w:rsidR="00921AE8" w:rsidRPr="00605672" w:rsidRDefault="00921AE8" w:rsidP="004B0C26">
            <w:pPr>
              <w:jc w:val="right"/>
              <w:rPr>
                <w:rFonts w:eastAsia="Times New Roman"/>
                <w:color w:val="000000"/>
                <w:sz w:val="18"/>
                <w:szCs w:val="18"/>
              </w:rPr>
            </w:pPr>
            <w:r w:rsidRPr="00605672">
              <w:rPr>
                <w:sz w:val="18"/>
                <w:szCs w:val="18"/>
              </w:rPr>
              <w:t>-.11</w:t>
            </w:r>
          </w:p>
        </w:tc>
        <w:tc>
          <w:tcPr>
            <w:tcW w:w="573" w:type="dxa"/>
            <w:shd w:val="clear" w:color="auto" w:fill="auto"/>
            <w:noWrap/>
          </w:tcPr>
          <w:p w14:paraId="3525F971" w14:textId="77777777" w:rsidR="00921AE8" w:rsidRPr="00605672" w:rsidRDefault="00921AE8" w:rsidP="004B0C26">
            <w:pPr>
              <w:jc w:val="right"/>
              <w:rPr>
                <w:rFonts w:eastAsia="Times New Roman"/>
                <w:color w:val="000000"/>
                <w:sz w:val="18"/>
                <w:szCs w:val="18"/>
              </w:rPr>
            </w:pPr>
            <w:r w:rsidRPr="00605672">
              <w:rPr>
                <w:sz w:val="18"/>
                <w:szCs w:val="18"/>
              </w:rPr>
              <w:t>.00</w:t>
            </w:r>
          </w:p>
        </w:tc>
        <w:tc>
          <w:tcPr>
            <w:tcW w:w="573" w:type="dxa"/>
            <w:shd w:val="clear" w:color="auto" w:fill="auto"/>
            <w:noWrap/>
          </w:tcPr>
          <w:p w14:paraId="0CDF234B" w14:textId="77777777" w:rsidR="00921AE8" w:rsidRPr="00605672" w:rsidRDefault="00921AE8" w:rsidP="004B0C26">
            <w:pPr>
              <w:jc w:val="right"/>
              <w:rPr>
                <w:rFonts w:eastAsia="Times New Roman"/>
                <w:color w:val="000000"/>
                <w:sz w:val="18"/>
                <w:szCs w:val="18"/>
              </w:rPr>
            </w:pPr>
            <w:r w:rsidRPr="00605672">
              <w:rPr>
                <w:sz w:val="18"/>
                <w:szCs w:val="18"/>
              </w:rPr>
              <w:t>-.09</w:t>
            </w:r>
          </w:p>
        </w:tc>
        <w:tc>
          <w:tcPr>
            <w:tcW w:w="572" w:type="dxa"/>
            <w:shd w:val="clear" w:color="auto" w:fill="auto"/>
            <w:noWrap/>
          </w:tcPr>
          <w:p w14:paraId="6759B369" w14:textId="77777777" w:rsidR="00921AE8" w:rsidRPr="00605672" w:rsidRDefault="00921AE8" w:rsidP="004B0C26">
            <w:pPr>
              <w:jc w:val="right"/>
              <w:rPr>
                <w:rFonts w:eastAsia="Times New Roman"/>
                <w:color w:val="000000"/>
                <w:sz w:val="18"/>
                <w:szCs w:val="18"/>
              </w:rPr>
            </w:pPr>
            <w:r w:rsidRPr="00605672">
              <w:rPr>
                <w:sz w:val="18"/>
                <w:szCs w:val="18"/>
              </w:rPr>
              <w:t>-.13</w:t>
            </w:r>
          </w:p>
        </w:tc>
        <w:tc>
          <w:tcPr>
            <w:tcW w:w="573" w:type="dxa"/>
            <w:shd w:val="clear" w:color="auto" w:fill="auto"/>
            <w:noWrap/>
          </w:tcPr>
          <w:p w14:paraId="7744A1B3" w14:textId="77777777" w:rsidR="00921AE8" w:rsidRPr="00605672" w:rsidRDefault="00921AE8" w:rsidP="004B0C26">
            <w:pPr>
              <w:jc w:val="right"/>
              <w:rPr>
                <w:rFonts w:eastAsia="Times New Roman"/>
                <w:color w:val="000000"/>
                <w:sz w:val="18"/>
                <w:szCs w:val="18"/>
              </w:rPr>
            </w:pPr>
            <w:r w:rsidRPr="00605672">
              <w:rPr>
                <w:sz w:val="18"/>
                <w:szCs w:val="18"/>
              </w:rPr>
              <w:t>-.10</w:t>
            </w:r>
          </w:p>
        </w:tc>
        <w:tc>
          <w:tcPr>
            <w:tcW w:w="573" w:type="dxa"/>
            <w:shd w:val="clear" w:color="auto" w:fill="auto"/>
            <w:noWrap/>
          </w:tcPr>
          <w:p w14:paraId="1EFC5913" w14:textId="77777777" w:rsidR="00921AE8" w:rsidRPr="00605672" w:rsidRDefault="00921AE8" w:rsidP="004B0C26">
            <w:pPr>
              <w:jc w:val="right"/>
              <w:rPr>
                <w:rFonts w:eastAsia="Times New Roman"/>
                <w:color w:val="000000"/>
                <w:sz w:val="18"/>
                <w:szCs w:val="18"/>
              </w:rPr>
            </w:pPr>
            <w:r w:rsidRPr="00605672">
              <w:rPr>
                <w:sz w:val="18"/>
                <w:szCs w:val="18"/>
              </w:rPr>
              <w:t>.06</w:t>
            </w:r>
          </w:p>
        </w:tc>
        <w:tc>
          <w:tcPr>
            <w:tcW w:w="573" w:type="dxa"/>
            <w:shd w:val="clear" w:color="auto" w:fill="auto"/>
            <w:noWrap/>
          </w:tcPr>
          <w:p w14:paraId="51F1E9EB" w14:textId="77777777" w:rsidR="00921AE8" w:rsidRPr="00605672" w:rsidRDefault="00921AE8" w:rsidP="004B0C26">
            <w:pPr>
              <w:jc w:val="right"/>
              <w:rPr>
                <w:rFonts w:eastAsia="Times New Roman"/>
                <w:color w:val="000000"/>
                <w:sz w:val="18"/>
                <w:szCs w:val="18"/>
              </w:rPr>
            </w:pPr>
            <w:r w:rsidRPr="00605672">
              <w:rPr>
                <w:sz w:val="18"/>
                <w:szCs w:val="18"/>
              </w:rPr>
              <w:t>.09</w:t>
            </w:r>
          </w:p>
        </w:tc>
        <w:tc>
          <w:tcPr>
            <w:tcW w:w="572" w:type="dxa"/>
            <w:shd w:val="clear" w:color="auto" w:fill="auto"/>
            <w:noWrap/>
          </w:tcPr>
          <w:p w14:paraId="48A7C92B" w14:textId="77777777" w:rsidR="00921AE8" w:rsidRPr="00605672" w:rsidRDefault="00921AE8" w:rsidP="004B0C26">
            <w:pPr>
              <w:jc w:val="right"/>
              <w:rPr>
                <w:rFonts w:eastAsia="Times New Roman"/>
                <w:color w:val="000000"/>
                <w:sz w:val="18"/>
                <w:szCs w:val="18"/>
              </w:rPr>
            </w:pPr>
            <w:r w:rsidRPr="00605672">
              <w:rPr>
                <w:sz w:val="18"/>
                <w:szCs w:val="18"/>
              </w:rPr>
              <w:t>.00</w:t>
            </w:r>
          </w:p>
        </w:tc>
        <w:tc>
          <w:tcPr>
            <w:tcW w:w="573" w:type="dxa"/>
            <w:shd w:val="clear" w:color="auto" w:fill="auto"/>
            <w:noWrap/>
          </w:tcPr>
          <w:p w14:paraId="67DD4691" w14:textId="77777777" w:rsidR="00921AE8" w:rsidRPr="00605672" w:rsidRDefault="00921AE8" w:rsidP="004B0C26">
            <w:pPr>
              <w:jc w:val="right"/>
              <w:rPr>
                <w:rFonts w:eastAsia="Times New Roman"/>
                <w:color w:val="000000"/>
                <w:sz w:val="18"/>
                <w:szCs w:val="18"/>
              </w:rPr>
            </w:pPr>
            <w:r w:rsidRPr="00605672">
              <w:rPr>
                <w:sz w:val="18"/>
                <w:szCs w:val="18"/>
              </w:rPr>
              <w:t>.07</w:t>
            </w:r>
          </w:p>
        </w:tc>
        <w:tc>
          <w:tcPr>
            <w:tcW w:w="573" w:type="dxa"/>
            <w:shd w:val="clear" w:color="auto" w:fill="auto"/>
            <w:noWrap/>
          </w:tcPr>
          <w:p w14:paraId="2EE9219D" w14:textId="77777777" w:rsidR="00921AE8" w:rsidRPr="00605672" w:rsidRDefault="00921AE8" w:rsidP="004B0C26">
            <w:pPr>
              <w:jc w:val="right"/>
              <w:rPr>
                <w:rFonts w:eastAsia="Times New Roman"/>
                <w:color w:val="000000"/>
                <w:sz w:val="18"/>
                <w:szCs w:val="18"/>
              </w:rPr>
            </w:pPr>
            <w:r w:rsidRPr="00605672">
              <w:rPr>
                <w:sz w:val="18"/>
                <w:szCs w:val="18"/>
              </w:rPr>
              <w:t>-.17</w:t>
            </w:r>
          </w:p>
        </w:tc>
        <w:tc>
          <w:tcPr>
            <w:tcW w:w="573" w:type="dxa"/>
            <w:shd w:val="clear" w:color="auto" w:fill="auto"/>
            <w:noWrap/>
          </w:tcPr>
          <w:p w14:paraId="40BB3DF4" w14:textId="77777777" w:rsidR="00921AE8" w:rsidRPr="00605672" w:rsidRDefault="00921AE8" w:rsidP="004B0C26">
            <w:pPr>
              <w:jc w:val="right"/>
              <w:rPr>
                <w:rFonts w:eastAsia="Times New Roman"/>
                <w:color w:val="000000"/>
                <w:sz w:val="18"/>
                <w:szCs w:val="18"/>
              </w:rPr>
            </w:pPr>
            <w:r w:rsidRPr="00605672">
              <w:rPr>
                <w:sz w:val="18"/>
                <w:szCs w:val="18"/>
              </w:rPr>
              <w:t>-</w:t>
            </w:r>
          </w:p>
        </w:tc>
        <w:tc>
          <w:tcPr>
            <w:tcW w:w="573" w:type="dxa"/>
            <w:shd w:val="clear" w:color="auto" w:fill="auto"/>
            <w:noWrap/>
          </w:tcPr>
          <w:p w14:paraId="6A44A323" w14:textId="77777777" w:rsidR="00921AE8" w:rsidRPr="00605672" w:rsidRDefault="00921AE8" w:rsidP="004B0C26">
            <w:pPr>
              <w:jc w:val="right"/>
              <w:rPr>
                <w:rFonts w:eastAsia="Times New Roman"/>
                <w:color w:val="000000"/>
                <w:sz w:val="18"/>
                <w:szCs w:val="18"/>
              </w:rPr>
            </w:pPr>
          </w:p>
        </w:tc>
      </w:tr>
      <w:tr w:rsidR="0062648F" w:rsidRPr="00605672" w14:paraId="24029B10" w14:textId="77777777" w:rsidTr="0062648F">
        <w:trPr>
          <w:trHeight w:val="288"/>
          <w:jc w:val="center"/>
        </w:trPr>
        <w:tc>
          <w:tcPr>
            <w:tcW w:w="4518" w:type="dxa"/>
            <w:shd w:val="clear" w:color="auto" w:fill="auto"/>
            <w:noWrap/>
          </w:tcPr>
          <w:p w14:paraId="5DCF9A98" w14:textId="4D68B76A" w:rsidR="00921AE8" w:rsidRPr="00605672" w:rsidRDefault="00921AE8" w:rsidP="00FC679E">
            <w:pPr>
              <w:rPr>
                <w:rFonts w:eastAsia="Times New Roman"/>
                <w:color w:val="000000"/>
                <w:sz w:val="18"/>
                <w:szCs w:val="18"/>
              </w:rPr>
            </w:pPr>
            <w:r w:rsidRPr="00605672">
              <w:rPr>
                <w:rFonts w:eastAsia="Times New Roman"/>
                <w:color w:val="000000"/>
                <w:sz w:val="18"/>
                <w:szCs w:val="18"/>
              </w:rPr>
              <w:t xml:space="preserve">Supplier </w:t>
            </w:r>
            <w:r w:rsidR="00FC679E">
              <w:rPr>
                <w:rFonts w:eastAsia="Times New Roman"/>
                <w:color w:val="000000"/>
                <w:sz w:val="18"/>
                <w:szCs w:val="18"/>
              </w:rPr>
              <w:t>s</w:t>
            </w:r>
            <w:r w:rsidR="00B0066E" w:rsidRPr="00605672">
              <w:rPr>
                <w:rFonts w:eastAsia="Times New Roman"/>
                <w:color w:val="000000"/>
                <w:sz w:val="18"/>
                <w:szCs w:val="18"/>
              </w:rPr>
              <w:t>ize</w:t>
            </w:r>
          </w:p>
        </w:tc>
        <w:tc>
          <w:tcPr>
            <w:tcW w:w="572" w:type="dxa"/>
            <w:shd w:val="clear" w:color="auto" w:fill="auto"/>
            <w:noWrap/>
          </w:tcPr>
          <w:p w14:paraId="006AAF63" w14:textId="77777777" w:rsidR="00921AE8" w:rsidRPr="00605672" w:rsidRDefault="00921AE8" w:rsidP="004B0C26">
            <w:pPr>
              <w:jc w:val="right"/>
              <w:rPr>
                <w:rFonts w:eastAsia="Times New Roman"/>
                <w:color w:val="000000"/>
                <w:sz w:val="18"/>
                <w:szCs w:val="18"/>
              </w:rPr>
            </w:pPr>
            <w:r w:rsidRPr="00605672">
              <w:rPr>
                <w:sz w:val="18"/>
                <w:szCs w:val="18"/>
              </w:rPr>
              <w:t>.13</w:t>
            </w:r>
          </w:p>
        </w:tc>
        <w:tc>
          <w:tcPr>
            <w:tcW w:w="573" w:type="dxa"/>
            <w:shd w:val="clear" w:color="auto" w:fill="auto"/>
            <w:noWrap/>
          </w:tcPr>
          <w:p w14:paraId="17D7073D" w14:textId="77777777" w:rsidR="00921AE8" w:rsidRPr="00605672" w:rsidRDefault="00921AE8" w:rsidP="004B0C26">
            <w:pPr>
              <w:jc w:val="right"/>
              <w:rPr>
                <w:rFonts w:eastAsia="Times New Roman"/>
                <w:color w:val="000000"/>
                <w:sz w:val="18"/>
                <w:szCs w:val="18"/>
              </w:rPr>
            </w:pPr>
            <w:r w:rsidRPr="00605672">
              <w:rPr>
                <w:sz w:val="18"/>
                <w:szCs w:val="18"/>
              </w:rPr>
              <w:t>.22</w:t>
            </w:r>
          </w:p>
        </w:tc>
        <w:tc>
          <w:tcPr>
            <w:tcW w:w="573" w:type="dxa"/>
            <w:shd w:val="clear" w:color="auto" w:fill="auto"/>
            <w:noWrap/>
          </w:tcPr>
          <w:p w14:paraId="2F3D7153" w14:textId="77777777" w:rsidR="00921AE8" w:rsidRPr="00605672" w:rsidRDefault="00921AE8" w:rsidP="004B0C26">
            <w:pPr>
              <w:jc w:val="right"/>
              <w:rPr>
                <w:rFonts w:eastAsia="Times New Roman"/>
                <w:color w:val="000000"/>
                <w:sz w:val="18"/>
                <w:szCs w:val="18"/>
              </w:rPr>
            </w:pPr>
            <w:r w:rsidRPr="00605672">
              <w:rPr>
                <w:sz w:val="18"/>
                <w:szCs w:val="18"/>
              </w:rPr>
              <w:t>.25</w:t>
            </w:r>
          </w:p>
        </w:tc>
        <w:tc>
          <w:tcPr>
            <w:tcW w:w="573" w:type="dxa"/>
            <w:shd w:val="clear" w:color="auto" w:fill="auto"/>
            <w:noWrap/>
          </w:tcPr>
          <w:p w14:paraId="63314B0A" w14:textId="77777777" w:rsidR="00921AE8" w:rsidRPr="00605672" w:rsidRDefault="00921AE8" w:rsidP="004B0C26">
            <w:pPr>
              <w:jc w:val="right"/>
              <w:rPr>
                <w:rFonts w:eastAsia="Times New Roman"/>
                <w:color w:val="000000"/>
                <w:sz w:val="18"/>
                <w:szCs w:val="18"/>
              </w:rPr>
            </w:pPr>
            <w:r w:rsidRPr="00605672">
              <w:rPr>
                <w:sz w:val="18"/>
                <w:szCs w:val="18"/>
              </w:rPr>
              <w:t>.18</w:t>
            </w:r>
          </w:p>
        </w:tc>
        <w:tc>
          <w:tcPr>
            <w:tcW w:w="572" w:type="dxa"/>
            <w:shd w:val="clear" w:color="auto" w:fill="auto"/>
            <w:noWrap/>
          </w:tcPr>
          <w:p w14:paraId="7518A492" w14:textId="77777777" w:rsidR="00921AE8" w:rsidRPr="00605672" w:rsidRDefault="00921AE8" w:rsidP="004B0C26">
            <w:pPr>
              <w:jc w:val="right"/>
              <w:rPr>
                <w:rFonts w:eastAsia="Times New Roman"/>
                <w:color w:val="000000"/>
                <w:sz w:val="18"/>
                <w:szCs w:val="18"/>
              </w:rPr>
            </w:pPr>
            <w:r w:rsidRPr="00605672">
              <w:rPr>
                <w:sz w:val="18"/>
                <w:szCs w:val="18"/>
              </w:rPr>
              <w:t>.25</w:t>
            </w:r>
          </w:p>
        </w:tc>
        <w:tc>
          <w:tcPr>
            <w:tcW w:w="573" w:type="dxa"/>
            <w:shd w:val="clear" w:color="auto" w:fill="auto"/>
            <w:noWrap/>
          </w:tcPr>
          <w:p w14:paraId="4D6E66C8" w14:textId="77777777" w:rsidR="00921AE8" w:rsidRPr="00605672" w:rsidRDefault="00921AE8" w:rsidP="00921AE8">
            <w:pPr>
              <w:jc w:val="right"/>
              <w:rPr>
                <w:rFonts w:eastAsia="Times New Roman"/>
                <w:color w:val="000000"/>
                <w:sz w:val="18"/>
                <w:szCs w:val="18"/>
              </w:rPr>
            </w:pPr>
            <w:r w:rsidRPr="00605672">
              <w:rPr>
                <w:sz w:val="18"/>
                <w:szCs w:val="18"/>
              </w:rPr>
              <w:t>.18</w:t>
            </w:r>
          </w:p>
        </w:tc>
        <w:tc>
          <w:tcPr>
            <w:tcW w:w="573" w:type="dxa"/>
            <w:shd w:val="clear" w:color="auto" w:fill="auto"/>
            <w:noWrap/>
          </w:tcPr>
          <w:p w14:paraId="1F69D64F" w14:textId="77777777" w:rsidR="00921AE8" w:rsidRPr="00605672" w:rsidRDefault="00921AE8" w:rsidP="00921AE8">
            <w:pPr>
              <w:jc w:val="right"/>
              <w:rPr>
                <w:rFonts w:eastAsia="Times New Roman"/>
                <w:color w:val="000000"/>
                <w:sz w:val="18"/>
                <w:szCs w:val="18"/>
              </w:rPr>
            </w:pPr>
            <w:r w:rsidRPr="00605672">
              <w:rPr>
                <w:sz w:val="18"/>
                <w:szCs w:val="18"/>
              </w:rPr>
              <w:t>.08</w:t>
            </w:r>
          </w:p>
        </w:tc>
        <w:tc>
          <w:tcPr>
            <w:tcW w:w="573" w:type="dxa"/>
            <w:shd w:val="clear" w:color="auto" w:fill="auto"/>
            <w:noWrap/>
          </w:tcPr>
          <w:p w14:paraId="3A4F4B66" w14:textId="77777777" w:rsidR="00921AE8" w:rsidRPr="00605672" w:rsidRDefault="00921AE8" w:rsidP="00921AE8">
            <w:pPr>
              <w:jc w:val="right"/>
              <w:rPr>
                <w:rFonts w:eastAsia="Times New Roman"/>
                <w:color w:val="000000"/>
                <w:sz w:val="18"/>
                <w:szCs w:val="18"/>
              </w:rPr>
            </w:pPr>
            <w:r w:rsidRPr="00605672">
              <w:rPr>
                <w:sz w:val="18"/>
                <w:szCs w:val="18"/>
              </w:rPr>
              <w:t>.36</w:t>
            </w:r>
          </w:p>
        </w:tc>
        <w:tc>
          <w:tcPr>
            <w:tcW w:w="572" w:type="dxa"/>
            <w:shd w:val="clear" w:color="auto" w:fill="auto"/>
            <w:noWrap/>
          </w:tcPr>
          <w:p w14:paraId="0F0C5276" w14:textId="77777777" w:rsidR="00921AE8" w:rsidRPr="00605672" w:rsidRDefault="00921AE8" w:rsidP="00921AE8">
            <w:pPr>
              <w:jc w:val="right"/>
              <w:rPr>
                <w:rFonts w:eastAsia="Times New Roman"/>
                <w:color w:val="000000"/>
                <w:sz w:val="18"/>
                <w:szCs w:val="18"/>
              </w:rPr>
            </w:pPr>
            <w:r w:rsidRPr="00605672">
              <w:rPr>
                <w:sz w:val="18"/>
                <w:szCs w:val="18"/>
              </w:rPr>
              <w:t>.14</w:t>
            </w:r>
          </w:p>
        </w:tc>
        <w:tc>
          <w:tcPr>
            <w:tcW w:w="573" w:type="dxa"/>
            <w:shd w:val="clear" w:color="auto" w:fill="auto"/>
            <w:noWrap/>
          </w:tcPr>
          <w:p w14:paraId="66C43A81" w14:textId="77777777" w:rsidR="00921AE8" w:rsidRPr="00605672" w:rsidRDefault="00921AE8" w:rsidP="00921AE8">
            <w:pPr>
              <w:jc w:val="right"/>
              <w:rPr>
                <w:rFonts w:eastAsia="Times New Roman"/>
                <w:color w:val="000000"/>
                <w:sz w:val="18"/>
                <w:szCs w:val="18"/>
              </w:rPr>
            </w:pPr>
            <w:r w:rsidRPr="00605672">
              <w:rPr>
                <w:sz w:val="18"/>
                <w:szCs w:val="18"/>
              </w:rPr>
              <w:t>.06</w:t>
            </w:r>
          </w:p>
        </w:tc>
        <w:tc>
          <w:tcPr>
            <w:tcW w:w="573" w:type="dxa"/>
            <w:shd w:val="clear" w:color="auto" w:fill="auto"/>
            <w:noWrap/>
          </w:tcPr>
          <w:p w14:paraId="11054534" w14:textId="77777777" w:rsidR="00921AE8" w:rsidRPr="00605672" w:rsidRDefault="00921AE8" w:rsidP="00921AE8">
            <w:pPr>
              <w:jc w:val="right"/>
              <w:rPr>
                <w:rFonts w:eastAsia="Times New Roman"/>
                <w:color w:val="000000"/>
                <w:sz w:val="18"/>
                <w:szCs w:val="18"/>
              </w:rPr>
            </w:pPr>
            <w:r w:rsidRPr="00605672">
              <w:rPr>
                <w:sz w:val="18"/>
                <w:szCs w:val="18"/>
              </w:rPr>
              <w:t>-.13</w:t>
            </w:r>
          </w:p>
        </w:tc>
        <w:tc>
          <w:tcPr>
            <w:tcW w:w="573" w:type="dxa"/>
            <w:shd w:val="clear" w:color="auto" w:fill="auto"/>
            <w:noWrap/>
          </w:tcPr>
          <w:p w14:paraId="123C834E" w14:textId="77777777" w:rsidR="00921AE8" w:rsidRPr="00605672" w:rsidRDefault="00921AE8" w:rsidP="00921AE8">
            <w:pPr>
              <w:jc w:val="right"/>
              <w:rPr>
                <w:rFonts w:eastAsia="Times New Roman"/>
                <w:color w:val="000000"/>
                <w:sz w:val="18"/>
                <w:szCs w:val="18"/>
              </w:rPr>
            </w:pPr>
            <w:r w:rsidRPr="00605672">
              <w:rPr>
                <w:sz w:val="18"/>
                <w:szCs w:val="18"/>
              </w:rPr>
              <w:t>-.13</w:t>
            </w:r>
          </w:p>
        </w:tc>
        <w:tc>
          <w:tcPr>
            <w:tcW w:w="572" w:type="dxa"/>
            <w:shd w:val="clear" w:color="auto" w:fill="auto"/>
            <w:noWrap/>
          </w:tcPr>
          <w:p w14:paraId="36860FA5" w14:textId="77777777" w:rsidR="00921AE8" w:rsidRPr="00605672" w:rsidRDefault="00921AE8" w:rsidP="00921AE8">
            <w:pPr>
              <w:jc w:val="right"/>
              <w:rPr>
                <w:rFonts w:eastAsia="Times New Roman"/>
                <w:color w:val="000000"/>
                <w:sz w:val="18"/>
                <w:szCs w:val="18"/>
              </w:rPr>
            </w:pPr>
            <w:r w:rsidRPr="00605672">
              <w:rPr>
                <w:sz w:val="18"/>
                <w:szCs w:val="18"/>
              </w:rPr>
              <w:t>-.04</w:t>
            </w:r>
          </w:p>
        </w:tc>
        <w:tc>
          <w:tcPr>
            <w:tcW w:w="573" w:type="dxa"/>
            <w:shd w:val="clear" w:color="auto" w:fill="auto"/>
            <w:noWrap/>
          </w:tcPr>
          <w:p w14:paraId="5012EB48" w14:textId="77777777" w:rsidR="00921AE8" w:rsidRPr="00605672" w:rsidRDefault="00921AE8" w:rsidP="00921AE8">
            <w:pPr>
              <w:jc w:val="right"/>
              <w:rPr>
                <w:rFonts w:eastAsia="Times New Roman"/>
                <w:color w:val="000000"/>
                <w:sz w:val="18"/>
                <w:szCs w:val="18"/>
              </w:rPr>
            </w:pPr>
            <w:r w:rsidRPr="00605672">
              <w:rPr>
                <w:sz w:val="18"/>
                <w:szCs w:val="18"/>
              </w:rPr>
              <w:t>.29</w:t>
            </w:r>
          </w:p>
        </w:tc>
        <w:tc>
          <w:tcPr>
            <w:tcW w:w="573" w:type="dxa"/>
            <w:shd w:val="clear" w:color="auto" w:fill="auto"/>
            <w:noWrap/>
          </w:tcPr>
          <w:p w14:paraId="00D907CB" w14:textId="77777777" w:rsidR="00921AE8" w:rsidRPr="00605672" w:rsidRDefault="00921AE8" w:rsidP="00921AE8">
            <w:pPr>
              <w:jc w:val="right"/>
              <w:rPr>
                <w:rFonts w:eastAsia="Times New Roman"/>
                <w:color w:val="000000"/>
                <w:sz w:val="18"/>
                <w:szCs w:val="18"/>
              </w:rPr>
            </w:pPr>
            <w:r w:rsidRPr="00605672">
              <w:rPr>
                <w:sz w:val="18"/>
                <w:szCs w:val="18"/>
              </w:rPr>
              <w:t>.14</w:t>
            </w:r>
          </w:p>
        </w:tc>
        <w:tc>
          <w:tcPr>
            <w:tcW w:w="573" w:type="dxa"/>
            <w:shd w:val="clear" w:color="auto" w:fill="auto"/>
            <w:noWrap/>
          </w:tcPr>
          <w:p w14:paraId="210CBA09" w14:textId="77777777" w:rsidR="00921AE8" w:rsidRPr="00605672" w:rsidRDefault="00921AE8" w:rsidP="00921AE8">
            <w:pPr>
              <w:jc w:val="right"/>
              <w:rPr>
                <w:rFonts w:eastAsia="Times New Roman"/>
                <w:color w:val="000000"/>
                <w:sz w:val="18"/>
                <w:szCs w:val="18"/>
              </w:rPr>
            </w:pPr>
            <w:r w:rsidRPr="00605672">
              <w:rPr>
                <w:sz w:val="18"/>
                <w:szCs w:val="18"/>
              </w:rPr>
              <w:t>.26</w:t>
            </w:r>
          </w:p>
        </w:tc>
        <w:tc>
          <w:tcPr>
            <w:tcW w:w="573" w:type="dxa"/>
            <w:shd w:val="clear" w:color="auto" w:fill="auto"/>
            <w:noWrap/>
          </w:tcPr>
          <w:p w14:paraId="0049A319" w14:textId="77777777" w:rsidR="00921AE8" w:rsidRPr="00605672" w:rsidRDefault="00921AE8" w:rsidP="004B0C26">
            <w:pPr>
              <w:tabs>
                <w:tab w:val="center" w:pos="4680"/>
                <w:tab w:val="right" w:pos="9360"/>
              </w:tabs>
              <w:spacing w:line="480" w:lineRule="auto"/>
              <w:ind w:firstLine="720"/>
              <w:jc w:val="right"/>
              <w:rPr>
                <w:rFonts w:eastAsia="Times New Roman"/>
                <w:color w:val="000000"/>
                <w:sz w:val="18"/>
                <w:szCs w:val="18"/>
              </w:rPr>
            </w:pPr>
            <w:r w:rsidRPr="00605672">
              <w:rPr>
                <w:sz w:val="18"/>
                <w:szCs w:val="18"/>
              </w:rPr>
              <w:t>-</w:t>
            </w:r>
          </w:p>
        </w:tc>
      </w:tr>
      <w:tr w:rsidR="0062648F" w:rsidRPr="00605672" w14:paraId="01B6A45C" w14:textId="77777777" w:rsidTr="0062648F">
        <w:trPr>
          <w:trHeight w:val="227"/>
          <w:jc w:val="center"/>
        </w:trPr>
        <w:tc>
          <w:tcPr>
            <w:tcW w:w="4518" w:type="dxa"/>
            <w:tcBorders>
              <w:top w:val="single" w:sz="4" w:space="0" w:color="auto"/>
            </w:tcBorders>
            <w:shd w:val="clear" w:color="auto" w:fill="auto"/>
            <w:noWrap/>
          </w:tcPr>
          <w:p w14:paraId="13036DA6" w14:textId="77777777" w:rsidR="00921AE8" w:rsidRPr="00605672" w:rsidRDefault="00921AE8" w:rsidP="004B0C26">
            <w:pPr>
              <w:rPr>
                <w:rFonts w:eastAsia="Times New Roman"/>
                <w:sz w:val="18"/>
                <w:szCs w:val="18"/>
              </w:rPr>
            </w:pPr>
            <w:r w:rsidRPr="00605672">
              <w:rPr>
                <w:rFonts w:eastAsia="Times New Roman"/>
                <w:sz w:val="18"/>
                <w:szCs w:val="18"/>
              </w:rPr>
              <w:t>Mean</w:t>
            </w:r>
          </w:p>
        </w:tc>
        <w:tc>
          <w:tcPr>
            <w:tcW w:w="572" w:type="dxa"/>
            <w:tcBorders>
              <w:top w:val="single" w:sz="4" w:space="0" w:color="auto"/>
            </w:tcBorders>
            <w:shd w:val="clear" w:color="auto" w:fill="auto"/>
            <w:noWrap/>
            <w:vAlign w:val="bottom"/>
          </w:tcPr>
          <w:p w14:paraId="059245B3" w14:textId="77777777" w:rsidR="00921AE8" w:rsidRPr="00605672" w:rsidRDefault="00921AE8" w:rsidP="004B0C26">
            <w:pPr>
              <w:jc w:val="right"/>
              <w:rPr>
                <w:sz w:val="18"/>
                <w:szCs w:val="18"/>
              </w:rPr>
            </w:pPr>
            <w:r w:rsidRPr="00605672">
              <w:rPr>
                <w:sz w:val="18"/>
                <w:szCs w:val="18"/>
              </w:rPr>
              <w:t>1.73</w:t>
            </w:r>
          </w:p>
        </w:tc>
        <w:tc>
          <w:tcPr>
            <w:tcW w:w="573" w:type="dxa"/>
            <w:tcBorders>
              <w:top w:val="single" w:sz="4" w:space="0" w:color="auto"/>
            </w:tcBorders>
            <w:shd w:val="clear" w:color="auto" w:fill="auto"/>
            <w:noWrap/>
            <w:vAlign w:val="bottom"/>
          </w:tcPr>
          <w:p w14:paraId="57888B53" w14:textId="77777777" w:rsidR="00921AE8" w:rsidRPr="00605672" w:rsidRDefault="00921AE8" w:rsidP="004B0C26">
            <w:pPr>
              <w:jc w:val="right"/>
              <w:rPr>
                <w:sz w:val="18"/>
                <w:szCs w:val="18"/>
              </w:rPr>
            </w:pPr>
            <w:r w:rsidRPr="00605672">
              <w:rPr>
                <w:sz w:val="18"/>
                <w:szCs w:val="18"/>
              </w:rPr>
              <w:t>2.85</w:t>
            </w:r>
          </w:p>
        </w:tc>
        <w:tc>
          <w:tcPr>
            <w:tcW w:w="573" w:type="dxa"/>
            <w:tcBorders>
              <w:top w:val="single" w:sz="4" w:space="0" w:color="auto"/>
            </w:tcBorders>
            <w:shd w:val="clear" w:color="auto" w:fill="auto"/>
            <w:noWrap/>
            <w:vAlign w:val="bottom"/>
          </w:tcPr>
          <w:p w14:paraId="2C55E68D" w14:textId="77777777" w:rsidR="00921AE8" w:rsidRPr="00605672" w:rsidRDefault="00921AE8" w:rsidP="004B0C26">
            <w:pPr>
              <w:jc w:val="right"/>
              <w:rPr>
                <w:sz w:val="18"/>
                <w:szCs w:val="18"/>
              </w:rPr>
            </w:pPr>
            <w:r w:rsidRPr="00605672">
              <w:rPr>
                <w:sz w:val="18"/>
                <w:szCs w:val="18"/>
              </w:rPr>
              <w:t>2.20</w:t>
            </w:r>
          </w:p>
        </w:tc>
        <w:tc>
          <w:tcPr>
            <w:tcW w:w="573" w:type="dxa"/>
            <w:tcBorders>
              <w:top w:val="single" w:sz="4" w:space="0" w:color="auto"/>
            </w:tcBorders>
            <w:shd w:val="clear" w:color="auto" w:fill="auto"/>
            <w:noWrap/>
            <w:vAlign w:val="bottom"/>
          </w:tcPr>
          <w:p w14:paraId="767A86E3" w14:textId="77777777" w:rsidR="00921AE8" w:rsidRPr="00605672" w:rsidRDefault="00921AE8" w:rsidP="004B0C26">
            <w:pPr>
              <w:jc w:val="right"/>
              <w:rPr>
                <w:sz w:val="18"/>
                <w:szCs w:val="18"/>
              </w:rPr>
            </w:pPr>
            <w:r w:rsidRPr="00605672">
              <w:rPr>
                <w:sz w:val="18"/>
                <w:szCs w:val="18"/>
              </w:rPr>
              <w:t>3.07</w:t>
            </w:r>
          </w:p>
        </w:tc>
        <w:tc>
          <w:tcPr>
            <w:tcW w:w="572" w:type="dxa"/>
            <w:tcBorders>
              <w:top w:val="single" w:sz="4" w:space="0" w:color="auto"/>
            </w:tcBorders>
            <w:shd w:val="clear" w:color="auto" w:fill="auto"/>
            <w:noWrap/>
            <w:vAlign w:val="bottom"/>
          </w:tcPr>
          <w:p w14:paraId="5595A03C" w14:textId="77777777" w:rsidR="00921AE8" w:rsidRPr="00605672" w:rsidRDefault="00921AE8" w:rsidP="004B0C26">
            <w:pPr>
              <w:jc w:val="right"/>
              <w:rPr>
                <w:sz w:val="18"/>
                <w:szCs w:val="18"/>
              </w:rPr>
            </w:pPr>
            <w:r w:rsidRPr="00605672">
              <w:rPr>
                <w:sz w:val="18"/>
                <w:szCs w:val="18"/>
              </w:rPr>
              <w:t>2.20</w:t>
            </w:r>
          </w:p>
        </w:tc>
        <w:tc>
          <w:tcPr>
            <w:tcW w:w="573" w:type="dxa"/>
            <w:tcBorders>
              <w:top w:val="single" w:sz="4" w:space="0" w:color="auto"/>
            </w:tcBorders>
            <w:shd w:val="clear" w:color="auto" w:fill="auto"/>
            <w:noWrap/>
            <w:vAlign w:val="bottom"/>
          </w:tcPr>
          <w:p w14:paraId="6830FBAE" w14:textId="77777777" w:rsidR="00921AE8" w:rsidRPr="00605672" w:rsidRDefault="00921AE8" w:rsidP="004B0C26">
            <w:pPr>
              <w:jc w:val="right"/>
              <w:rPr>
                <w:sz w:val="18"/>
                <w:szCs w:val="18"/>
              </w:rPr>
            </w:pPr>
            <w:r w:rsidRPr="00605672">
              <w:rPr>
                <w:sz w:val="18"/>
                <w:szCs w:val="18"/>
              </w:rPr>
              <w:t>3.95</w:t>
            </w:r>
          </w:p>
        </w:tc>
        <w:tc>
          <w:tcPr>
            <w:tcW w:w="573" w:type="dxa"/>
            <w:tcBorders>
              <w:top w:val="single" w:sz="4" w:space="0" w:color="auto"/>
            </w:tcBorders>
            <w:shd w:val="clear" w:color="auto" w:fill="auto"/>
            <w:noWrap/>
            <w:vAlign w:val="bottom"/>
          </w:tcPr>
          <w:p w14:paraId="3A3432E7" w14:textId="77777777" w:rsidR="00921AE8" w:rsidRPr="00605672" w:rsidRDefault="00921AE8" w:rsidP="004B0C26">
            <w:pPr>
              <w:jc w:val="right"/>
              <w:rPr>
                <w:sz w:val="18"/>
                <w:szCs w:val="18"/>
              </w:rPr>
            </w:pPr>
            <w:r w:rsidRPr="00605672">
              <w:rPr>
                <w:sz w:val="18"/>
                <w:szCs w:val="18"/>
              </w:rPr>
              <w:t>4.66</w:t>
            </w:r>
          </w:p>
        </w:tc>
        <w:tc>
          <w:tcPr>
            <w:tcW w:w="573" w:type="dxa"/>
            <w:tcBorders>
              <w:top w:val="single" w:sz="4" w:space="0" w:color="auto"/>
            </w:tcBorders>
            <w:shd w:val="clear" w:color="auto" w:fill="auto"/>
            <w:noWrap/>
            <w:vAlign w:val="bottom"/>
          </w:tcPr>
          <w:p w14:paraId="7F91A8F2" w14:textId="77777777" w:rsidR="00921AE8" w:rsidRPr="00605672" w:rsidRDefault="00921AE8" w:rsidP="004B0C26">
            <w:pPr>
              <w:jc w:val="right"/>
              <w:rPr>
                <w:sz w:val="18"/>
                <w:szCs w:val="18"/>
              </w:rPr>
            </w:pPr>
            <w:r w:rsidRPr="00605672">
              <w:rPr>
                <w:sz w:val="18"/>
                <w:szCs w:val="18"/>
              </w:rPr>
              <w:t>1.56</w:t>
            </w:r>
          </w:p>
        </w:tc>
        <w:tc>
          <w:tcPr>
            <w:tcW w:w="572" w:type="dxa"/>
            <w:tcBorders>
              <w:top w:val="single" w:sz="4" w:space="0" w:color="auto"/>
            </w:tcBorders>
            <w:shd w:val="clear" w:color="auto" w:fill="auto"/>
            <w:noWrap/>
            <w:vAlign w:val="bottom"/>
          </w:tcPr>
          <w:p w14:paraId="120B54BC" w14:textId="77777777" w:rsidR="00921AE8" w:rsidRPr="00605672" w:rsidRDefault="00921AE8" w:rsidP="004B0C26">
            <w:pPr>
              <w:jc w:val="right"/>
              <w:rPr>
                <w:sz w:val="18"/>
                <w:szCs w:val="18"/>
              </w:rPr>
            </w:pPr>
            <w:r w:rsidRPr="00605672">
              <w:rPr>
                <w:sz w:val="18"/>
                <w:szCs w:val="18"/>
              </w:rPr>
              <w:t>2.47</w:t>
            </w:r>
          </w:p>
        </w:tc>
        <w:tc>
          <w:tcPr>
            <w:tcW w:w="573" w:type="dxa"/>
            <w:tcBorders>
              <w:top w:val="single" w:sz="4" w:space="0" w:color="auto"/>
            </w:tcBorders>
            <w:shd w:val="clear" w:color="auto" w:fill="auto"/>
            <w:noWrap/>
            <w:vAlign w:val="bottom"/>
          </w:tcPr>
          <w:p w14:paraId="57BE7DD9" w14:textId="77777777" w:rsidR="00921AE8" w:rsidRPr="00605672" w:rsidRDefault="00921AE8" w:rsidP="004B0C26">
            <w:pPr>
              <w:jc w:val="right"/>
              <w:rPr>
                <w:sz w:val="18"/>
                <w:szCs w:val="18"/>
              </w:rPr>
            </w:pPr>
            <w:r w:rsidRPr="00605672">
              <w:rPr>
                <w:sz w:val="18"/>
                <w:szCs w:val="18"/>
              </w:rPr>
              <w:t>2.92</w:t>
            </w:r>
          </w:p>
        </w:tc>
        <w:tc>
          <w:tcPr>
            <w:tcW w:w="573" w:type="dxa"/>
            <w:tcBorders>
              <w:top w:val="single" w:sz="4" w:space="0" w:color="auto"/>
            </w:tcBorders>
            <w:shd w:val="clear" w:color="auto" w:fill="auto"/>
            <w:noWrap/>
            <w:vAlign w:val="bottom"/>
          </w:tcPr>
          <w:p w14:paraId="41EEC799" w14:textId="77777777" w:rsidR="00921AE8" w:rsidRPr="00605672" w:rsidRDefault="00921AE8" w:rsidP="004B0C26">
            <w:pPr>
              <w:jc w:val="right"/>
              <w:rPr>
                <w:sz w:val="18"/>
                <w:szCs w:val="18"/>
              </w:rPr>
            </w:pPr>
            <w:r w:rsidRPr="00605672">
              <w:rPr>
                <w:sz w:val="18"/>
                <w:szCs w:val="18"/>
              </w:rPr>
              <w:t>3.86</w:t>
            </w:r>
          </w:p>
        </w:tc>
        <w:tc>
          <w:tcPr>
            <w:tcW w:w="573" w:type="dxa"/>
            <w:tcBorders>
              <w:top w:val="single" w:sz="4" w:space="0" w:color="auto"/>
            </w:tcBorders>
            <w:shd w:val="clear" w:color="auto" w:fill="auto"/>
            <w:noWrap/>
            <w:vAlign w:val="bottom"/>
          </w:tcPr>
          <w:p w14:paraId="006C034A" w14:textId="77777777" w:rsidR="00921AE8" w:rsidRPr="00605672" w:rsidRDefault="00921AE8" w:rsidP="004B0C26">
            <w:pPr>
              <w:jc w:val="right"/>
              <w:rPr>
                <w:sz w:val="18"/>
                <w:szCs w:val="18"/>
              </w:rPr>
            </w:pPr>
            <w:r w:rsidRPr="00605672">
              <w:rPr>
                <w:sz w:val="18"/>
                <w:szCs w:val="18"/>
              </w:rPr>
              <w:t>3.70</w:t>
            </w:r>
          </w:p>
        </w:tc>
        <w:tc>
          <w:tcPr>
            <w:tcW w:w="572" w:type="dxa"/>
            <w:tcBorders>
              <w:top w:val="single" w:sz="4" w:space="0" w:color="auto"/>
            </w:tcBorders>
            <w:shd w:val="clear" w:color="auto" w:fill="auto"/>
            <w:noWrap/>
            <w:vAlign w:val="bottom"/>
          </w:tcPr>
          <w:p w14:paraId="4AC6E508" w14:textId="77777777" w:rsidR="00921AE8" w:rsidRPr="00605672" w:rsidRDefault="00921AE8" w:rsidP="004B0C26">
            <w:pPr>
              <w:jc w:val="right"/>
              <w:rPr>
                <w:sz w:val="18"/>
                <w:szCs w:val="18"/>
              </w:rPr>
            </w:pPr>
            <w:r w:rsidRPr="00605672">
              <w:rPr>
                <w:sz w:val="18"/>
                <w:szCs w:val="18"/>
              </w:rPr>
              <w:t>3.58</w:t>
            </w:r>
          </w:p>
        </w:tc>
        <w:tc>
          <w:tcPr>
            <w:tcW w:w="573" w:type="dxa"/>
            <w:tcBorders>
              <w:top w:val="single" w:sz="4" w:space="0" w:color="auto"/>
            </w:tcBorders>
            <w:shd w:val="clear" w:color="auto" w:fill="auto"/>
            <w:noWrap/>
            <w:vAlign w:val="bottom"/>
          </w:tcPr>
          <w:p w14:paraId="4B4D31C2" w14:textId="77777777" w:rsidR="00921AE8" w:rsidRPr="00605672" w:rsidRDefault="00921AE8" w:rsidP="004B0C26">
            <w:pPr>
              <w:jc w:val="right"/>
              <w:rPr>
                <w:sz w:val="18"/>
                <w:szCs w:val="18"/>
              </w:rPr>
            </w:pPr>
            <w:r w:rsidRPr="00605672">
              <w:rPr>
                <w:sz w:val="18"/>
                <w:szCs w:val="18"/>
              </w:rPr>
              <w:t>5.13</w:t>
            </w:r>
          </w:p>
        </w:tc>
        <w:tc>
          <w:tcPr>
            <w:tcW w:w="573" w:type="dxa"/>
            <w:tcBorders>
              <w:top w:val="single" w:sz="4" w:space="0" w:color="auto"/>
            </w:tcBorders>
            <w:shd w:val="clear" w:color="auto" w:fill="auto"/>
            <w:noWrap/>
            <w:vAlign w:val="bottom"/>
          </w:tcPr>
          <w:p w14:paraId="6B7ABA36" w14:textId="77777777" w:rsidR="00921AE8" w:rsidRPr="00605672" w:rsidRDefault="00921AE8" w:rsidP="004B0C26">
            <w:pPr>
              <w:jc w:val="right"/>
              <w:rPr>
                <w:sz w:val="18"/>
                <w:szCs w:val="18"/>
              </w:rPr>
            </w:pPr>
            <w:r w:rsidRPr="00605672">
              <w:rPr>
                <w:sz w:val="18"/>
                <w:szCs w:val="18"/>
              </w:rPr>
              <w:t>5.98</w:t>
            </w:r>
          </w:p>
        </w:tc>
        <w:tc>
          <w:tcPr>
            <w:tcW w:w="573" w:type="dxa"/>
            <w:tcBorders>
              <w:top w:val="single" w:sz="4" w:space="0" w:color="auto"/>
            </w:tcBorders>
            <w:shd w:val="clear" w:color="auto" w:fill="auto"/>
            <w:noWrap/>
            <w:vAlign w:val="bottom"/>
          </w:tcPr>
          <w:p w14:paraId="5E46A88B" w14:textId="77777777" w:rsidR="00921AE8" w:rsidRPr="00605672" w:rsidRDefault="00921AE8" w:rsidP="004B0C26">
            <w:pPr>
              <w:jc w:val="right"/>
              <w:rPr>
                <w:sz w:val="18"/>
                <w:szCs w:val="18"/>
              </w:rPr>
            </w:pPr>
            <w:r w:rsidRPr="00605672">
              <w:rPr>
                <w:sz w:val="18"/>
                <w:szCs w:val="18"/>
              </w:rPr>
              <w:t>.20</w:t>
            </w:r>
          </w:p>
        </w:tc>
        <w:tc>
          <w:tcPr>
            <w:tcW w:w="573" w:type="dxa"/>
            <w:tcBorders>
              <w:top w:val="single" w:sz="4" w:space="0" w:color="auto"/>
            </w:tcBorders>
            <w:shd w:val="clear" w:color="auto" w:fill="auto"/>
            <w:noWrap/>
            <w:vAlign w:val="bottom"/>
          </w:tcPr>
          <w:p w14:paraId="57BCD14F" w14:textId="77777777" w:rsidR="00921AE8" w:rsidRPr="00605672" w:rsidRDefault="00921AE8" w:rsidP="004B0C26">
            <w:pPr>
              <w:jc w:val="right"/>
              <w:rPr>
                <w:sz w:val="18"/>
                <w:szCs w:val="18"/>
              </w:rPr>
            </w:pPr>
            <w:r w:rsidRPr="00605672">
              <w:rPr>
                <w:sz w:val="18"/>
                <w:szCs w:val="18"/>
              </w:rPr>
              <w:t>3.53</w:t>
            </w:r>
          </w:p>
        </w:tc>
      </w:tr>
      <w:tr w:rsidR="0062648F" w:rsidRPr="00605672" w14:paraId="447BA74E" w14:textId="77777777" w:rsidTr="0062648F">
        <w:trPr>
          <w:trHeight w:val="227"/>
          <w:jc w:val="center"/>
        </w:trPr>
        <w:tc>
          <w:tcPr>
            <w:tcW w:w="4518" w:type="dxa"/>
            <w:shd w:val="clear" w:color="auto" w:fill="auto"/>
            <w:noWrap/>
          </w:tcPr>
          <w:p w14:paraId="56CC1D09" w14:textId="45514E46" w:rsidR="00921AE8" w:rsidRPr="00605672" w:rsidRDefault="00921AE8" w:rsidP="00FC679E">
            <w:pPr>
              <w:rPr>
                <w:rFonts w:eastAsia="Times New Roman"/>
                <w:sz w:val="18"/>
                <w:szCs w:val="18"/>
              </w:rPr>
            </w:pPr>
            <w:r w:rsidRPr="00605672">
              <w:rPr>
                <w:rFonts w:eastAsia="Times New Roman"/>
                <w:sz w:val="18"/>
                <w:szCs w:val="18"/>
              </w:rPr>
              <w:t>S</w:t>
            </w:r>
            <w:r w:rsidR="00FC679E">
              <w:rPr>
                <w:rFonts w:eastAsia="Times New Roman"/>
                <w:sz w:val="18"/>
                <w:szCs w:val="18"/>
              </w:rPr>
              <w:t>tandard deviation</w:t>
            </w:r>
          </w:p>
        </w:tc>
        <w:tc>
          <w:tcPr>
            <w:tcW w:w="572" w:type="dxa"/>
            <w:shd w:val="clear" w:color="auto" w:fill="auto"/>
            <w:noWrap/>
            <w:vAlign w:val="bottom"/>
          </w:tcPr>
          <w:p w14:paraId="6F82C447" w14:textId="77777777" w:rsidR="00921AE8" w:rsidRPr="00605672" w:rsidRDefault="00921AE8" w:rsidP="004B0C26">
            <w:pPr>
              <w:jc w:val="right"/>
              <w:rPr>
                <w:sz w:val="18"/>
                <w:szCs w:val="18"/>
              </w:rPr>
            </w:pPr>
            <w:r w:rsidRPr="00605672">
              <w:rPr>
                <w:sz w:val="18"/>
                <w:szCs w:val="18"/>
              </w:rPr>
              <w:t>.75</w:t>
            </w:r>
          </w:p>
        </w:tc>
        <w:tc>
          <w:tcPr>
            <w:tcW w:w="573" w:type="dxa"/>
            <w:shd w:val="clear" w:color="auto" w:fill="auto"/>
            <w:noWrap/>
            <w:vAlign w:val="bottom"/>
          </w:tcPr>
          <w:p w14:paraId="06B0B8C1" w14:textId="77777777" w:rsidR="00921AE8" w:rsidRPr="00605672" w:rsidRDefault="00921AE8" w:rsidP="004B0C26">
            <w:pPr>
              <w:jc w:val="right"/>
              <w:rPr>
                <w:sz w:val="18"/>
                <w:szCs w:val="18"/>
              </w:rPr>
            </w:pPr>
            <w:r w:rsidRPr="00605672">
              <w:rPr>
                <w:sz w:val="18"/>
                <w:szCs w:val="18"/>
              </w:rPr>
              <w:t>1.65</w:t>
            </w:r>
          </w:p>
        </w:tc>
        <w:tc>
          <w:tcPr>
            <w:tcW w:w="573" w:type="dxa"/>
            <w:shd w:val="clear" w:color="auto" w:fill="auto"/>
            <w:noWrap/>
            <w:vAlign w:val="bottom"/>
          </w:tcPr>
          <w:p w14:paraId="44AC7963" w14:textId="77777777" w:rsidR="00921AE8" w:rsidRPr="00605672" w:rsidRDefault="00921AE8" w:rsidP="004B0C26">
            <w:pPr>
              <w:jc w:val="right"/>
              <w:rPr>
                <w:sz w:val="18"/>
                <w:szCs w:val="18"/>
              </w:rPr>
            </w:pPr>
            <w:r w:rsidRPr="00605672">
              <w:rPr>
                <w:sz w:val="18"/>
                <w:szCs w:val="18"/>
              </w:rPr>
              <w:t>1.26</w:t>
            </w:r>
          </w:p>
        </w:tc>
        <w:tc>
          <w:tcPr>
            <w:tcW w:w="573" w:type="dxa"/>
            <w:shd w:val="clear" w:color="auto" w:fill="auto"/>
            <w:noWrap/>
            <w:vAlign w:val="bottom"/>
          </w:tcPr>
          <w:p w14:paraId="27B9AA6D" w14:textId="77777777" w:rsidR="00921AE8" w:rsidRPr="00605672" w:rsidRDefault="00921AE8" w:rsidP="004B0C26">
            <w:pPr>
              <w:jc w:val="right"/>
              <w:rPr>
                <w:sz w:val="18"/>
                <w:szCs w:val="18"/>
              </w:rPr>
            </w:pPr>
            <w:r w:rsidRPr="00605672">
              <w:rPr>
                <w:sz w:val="18"/>
                <w:szCs w:val="18"/>
              </w:rPr>
              <w:t>1.63</w:t>
            </w:r>
          </w:p>
        </w:tc>
        <w:tc>
          <w:tcPr>
            <w:tcW w:w="572" w:type="dxa"/>
            <w:shd w:val="clear" w:color="auto" w:fill="auto"/>
            <w:noWrap/>
            <w:vAlign w:val="bottom"/>
          </w:tcPr>
          <w:p w14:paraId="18CBDAD0" w14:textId="77777777" w:rsidR="00921AE8" w:rsidRPr="00605672" w:rsidRDefault="00921AE8" w:rsidP="004B0C26">
            <w:pPr>
              <w:jc w:val="right"/>
              <w:rPr>
                <w:sz w:val="18"/>
                <w:szCs w:val="18"/>
              </w:rPr>
            </w:pPr>
            <w:r w:rsidRPr="00605672">
              <w:rPr>
                <w:sz w:val="18"/>
                <w:szCs w:val="18"/>
              </w:rPr>
              <w:t>1.26</w:t>
            </w:r>
          </w:p>
        </w:tc>
        <w:tc>
          <w:tcPr>
            <w:tcW w:w="573" w:type="dxa"/>
            <w:shd w:val="clear" w:color="auto" w:fill="auto"/>
            <w:noWrap/>
            <w:vAlign w:val="bottom"/>
          </w:tcPr>
          <w:p w14:paraId="5F960E6A" w14:textId="77777777" w:rsidR="00921AE8" w:rsidRPr="00605672" w:rsidRDefault="00921AE8" w:rsidP="004B0C26">
            <w:pPr>
              <w:jc w:val="right"/>
              <w:rPr>
                <w:sz w:val="18"/>
                <w:szCs w:val="18"/>
              </w:rPr>
            </w:pPr>
            <w:r w:rsidRPr="00605672">
              <w:rPr>
                <w:sz w:val="18"/>
                <w:szCs w:val="18"/>
              </w:rPr>
              <w:t>1.49</w:t>
            </w:r>
          </w:p>
        </w:tc>
        <w:tc>
          <w:tcPr>
            <w:tcW w:w="573" w:type="dxa"/>
            <w:shd w:val="clear" w:color="auto" w:fill="auto"/>
            <w:noWrap/>
            <w:vAlign w:val="bottom"/>
          </w:tcPr>
          <w:p w14:paraId="1AB3E2D5" w14:textId="77777777" w:rsidR="00921AE8" w:rsidRPr="00605672" w:rsidRDefault="00921AE8" w:rsidP="004B0C26">
            <w:pPr>
              <w:jc w:val="right"/>
              <w:rPr>
                <w:sz w:val="18"/>
                <w:szCs w:val="18"/>
              </w:rPr>
            </w:pPr>
            <w:r w:rsidRPr="00605672">
              <w:rPr>
                <w:sz w:val="18"/>
                <w:szCs w:val="18"/>
              </w:rPr>
              <w:t>1.19</w:t>
            </w:r>
          </w:p>
        </w:tc>
        <w:tc>
          <w:tcPr>
            <w:tcW w:w="573" w:type="dxa"/>
            <w:shd w:val="clear" w:color="auto" w:fill="auto"/>
            <w:noWrap/>
            <w:vAlign w:val="bottom"/>
          </w:tcPr>
          <w:p w14:paraId="0211D58E" w14:textId="77777777" w:rsidR="00921AE8" w:rsidRPr="00605672" w:rsidRDefault="00921AE8" w:rsidP="004B0C26">
            <w:pPr>
              <w:jc w:val="right"/>
              <w:rPr>
                <w:sz w:val="18"/>
                <w:szCs w:val="18"/>
              </w:rPr>
            </w:pPr>
            <w:r w:rsidRPr="00605672">
              <w:rPr>
                <w:sz w:val="18"/>
                <w:szCs w:val="18"/>
              </w:rPr>
              <w:t>.50</w:t>
            </w:r>
          </w:p>
        </w:tc>
        <w:tc>
          <w:tcPr>
            <w:tcW w:w="572" w:type="dxa"/>
            <w:shd w:val="clear" w:color="auto" w:fill="auto"/>
            <w:noWrap/>
            <w:vAlign w:val="bottom"/>
          </w:tcPr>
          <w:p w14:paraId="013A69B4" w14:textId="77777777" w:rsidR="00921AE8" w:rsidRPr="00605672" w:rsidRDefault="00921AE8" w:rsidP="004B0C26">
            <w:pPr>
              <w:jc w:val="right"/>
              <w:rPr>
                <w:sz w:val="18"/>
                <w:szCs w:val="18"/>
              </w:rPr>
            </w:pPr>
            <w:r w:rsidRPr="00605672">
              <w:rPr>
                <w:sz w:val="18"/>
                <w:szCs w:val="18"/>
              </w:rPr>
              <w:t>1.30</w:t>
            </w:r>
          </w:p>
        </w:tc>
        <w:tc>
          <w:tcPr>
            <w:tcW w:w="573" w:type="dxa"/>
            <w:shd w:val="clear" w:color="auto" w:fill="auto"/>
            <w:noWrap/>
            <w:vAlign w:val="bottom"/>
          </w:tcPr>
          <w:p w14:paraId="38F5CBF3" w14:textId="77777777" w:rsidR="00921AE8" w:rsidRPr="00605672" w:rsidRDefault="00921AE8" w:rsidP="004B0C26">
            <w:pPr>
              <w:jc w:val="right"/>
              <w:rPr>
                <w:sz w:val="18"/>
                <w:szCs w:val="18"/>
              </w:rPr>
            </w:pPr>
            <w:r w:rsidRPr="00605672">
              <w:rPr>
                <w:sz w:val="18"/>
                <w:szCs w:val="18"/>
              </w:rPr>
              <w:t>1.74</w:t>
            </w:r>
          </w:p>
        </w:tc>
        <w:tc>
          <w:tcPr>
            <w:tcW w:w="573" w:type="dxa"/>
            <w:shd w:val="clear" w:color="auto" w:fill="auto"/>
            <w:noWrap/>
            <w:vAlign w:val="bottom"/>
          </w:tcPr>
          <w:p w14:paraId="489E0489" w14:textId="77777777" w:rsidR="00921AE8" w:rsidRPr="00605672" w:rsidRDefault="00921AE8" w:rsidP="004B0C26">
            <w:pPr>
              <w:jc w:val="right"/>
              <w:rPr>
                <w:sz w:val="18"/>
                <w:szCs w:val="18"/>
              </w:rPr>
            </w:pPr>
            <w:r w:rsidRPr="00605672">
              <w:rPr>
                <w:sz w:val="18"/>
                <w:szCs w:val="18"/>
              </w:rPr>
              <w:t>1.68</w:t>
            </w:r>
          </w:p>
        </w:tc>
        <w:tc>
          <w:tcPr>
            <w:tcW w:w="573" w:type="dxa"/>
            <w:shd w:val="clear" w:color="auto" w:fill="auto"/>
            <w:noWrap/>
            <w:vAlign w:val="bottom"/>
          </w:tcPr>
          <w:p w14:paraId="7120CBA4" w14:textId="77777777" w:rsidR="00921AE8" w:rsidRPr="00605672" w:rsidRDefault="00921AE8" w:rsidP="004B0C26">
            <w:pPr>
              <w:jc w:val="right"/>
              <w:rPr>
                <w:sz w:val="18"/>
                <w:szCs w:val="18"/>
              </w:rPr>
            </w:pPr>
            <w:r w:rsidRPr="00605672">
              <w:rPr>
                <w:sz w:val="18"/>
                <w:szCs w:val="18"/>
              </w:rPr>
              <w:t>1.64</w:t>
            </w:r>
          </w:p>
        </w:tc>
        <w:tc>
          <w:tcPr>
            <w:tcW w:w="572" w:type="dxa"/>
            <w:shd w:val="clear" w:color="auto" w:fill="auto"/>
            <w:noWrap/>
            <w:vAlign w:val="bottom"/>
          </w:tcPr>
          <w:p w14:paraId="1231448C" w14:textId="77777777" w:rsidR="00921AE8" w:rsidRPr="00605672" w:rsidRDefault="00921AE8" w:rsidP="004B0C26">
            <w:pPr>
              <w:jc w:val="right"/>
              <w:rPr>
                <w:sz w:val="18"/>
                <w:szCs w:val="18"/>
              </w:rPr>
            </w:pPr>
            <w:r w:rsidRPr="00605672">
              <w:rPr>
                <w:sz w:val="18"/>
                <w:szCs w:val="18"/>
              </w:rPr>
              <w:t>1.71</w:t>
            </w:r>
          </w:p>
        </w:tc>
        <w:tc>
          <w:tcPr>
            <w:tcW w:w="573" w:type="dxa"/>
            <w:shd w:val="clear" w:color="auto" w:fill="auto"/>
            <w:noWrap/>
            <w:vAlign w:val="bottom"/>
          </w:tcPr>
          <w:p w14:paraId="071F6CFB" w14:textId="77777777" w:rsidR="00921AE8" w:rsidRPr="00605672" w:rsidRDefault="00921AE8" w:rsidP="004B0C26">
            <w:pPr>
              <w:jc w:val="right"/>
              <w:rPr>
                <w:sz w:val="18"/>
                <w:szCs w:val="18"/>
              </w:rPr>
            </w:pPr>
            <w:r w:rsidRPr="00605672">
              <w:rPr>
                <w:sz w:val="18"/>
                <w:szCs w:val="18"/>
              </w:rPr>
              <w:t>1.54</w:t>
            </w:r>
          </w:p>
        </w:tc>
        <w:tc>
          <w:tcPr>
            <w:tcW w:w="573" w:type="dxa"/>
            <w:shd w:val="clear" w:color="auto" w:fill="auto"/>
            <w:noWrap/>
            <w:vAlign w:val="bottom"/>
          </w:tcPr>
          <w:p w14:paraId="5BA47C8C" w14:textId="77777777" w:rsidR="00921AE8" w:rsidRPr="00605672" w:rsidRDefault="00921AE8" w:rsidP="004B0C26">
            <w:pPr>
              <w:jc w:val="right"/>
              <w:rPr>
                <w:sz w:val="18"/>
                <w:szCs w:val="18"/>
              </w:rPr>
            </w:pPr>
            <w:r w:rsidRPr="00605672">
              <w:rPr>
                <w:sz w:val="18"/>
                <w:szCs w:val="18"/>
              </w:rPr>
              <w:t>1.14</w:t>
            </w:r>
          </w:p>
        </w:tc>
        <w:tc>
          <w:tcPr>
            <w:tcW w:w="573" w:type="dxa"/>
            <w:shd w:val="clear" w:color="auto" w:fill="auto"/>
            <w:noWrap/>
            <w:vAlign w:val="bottom"/>
          </w:tcPr>
          <w:p w14:paraId="504AFCDF" w14:textId="77777777" w:rsidR="00921AE8" w:rsidRPr="00605672" w:rsidRDefault="00921AE8" w:rsidP="004B0C26">
            <w:pPr>
              <w:jc w:val="right"/>
              <w:rPr>
                <w:sz w:val="18"/>
                <w:szCs w:val="18"/>
              </w:rPr>
            </w:pPr>
            <w:r w:rsidRPr="00605672">
              <w:rPr>
                <w:sz w:val="18"/>
                <w:szCs w:val="18"/>
              </w:rPr>
              <w:t>.40</w:t>
            </w:r>
          </w:p>
        </w:tc>
        <w:tc>
          <w:tcPr>
            <w:tcW w:w="573" w:type="dxa"/>
            <w:shd w:val="clear" w:color="auto" w:fill="auto"/>
            <w:noWrap/>
            <w:vAlign w:val="bottom"/>
          </w:tcPr>
          <w:p w14:paraId="67D3D412" w14:textId="77777777" w:rsidR="00921AE8" w:rsidRPr="00605672" w:rsidRDefault="00921AE8" w:rsidP="004B0C26">
            <w:pPr>
              <w:jc w:val="right"/>
              <w:rPr>
                <w:sz w:val="18"/>
                <w:szCs w:val="18"/>
              </w:rPr>
            </w:pPr>
            <w:r w:rsidRPr="00605672">
              <w:rPr>
                <w:sz w:val="18"/>
                <w:szCs w:val="18"/>
              </w:rPr>
              <w:t>1.25</w:t>
            </w:r>
          </w:p>
        </w:tc>
      </w:tr>
      <w:tr w:rsidR="0062648F" w:rsidRPr="00605672" w14:paraId="23C0CF6D" w14:textId="77777777" w:rsidTr="0062648F">
        <w:trPr>
          <w:trHeight w:val="227"/>
          <w:jc w:val="center"/>
        </w:trPr>
        <w:tc>
          <w:tcPr>
            <w:tcW w:w="4518" w:type="dxa"/>
            <w:shd w:val="clear" w:color="auto" w:fill="auto"/>
            <w:noWrap/>
          </w:tcPr>
          <w:p w14:paraId="56CE4356" w14:textId="77777777" w:rsidR="00921AE8" w:rsidRPr="00605672" w:rsidRDefault="00921AE8" w:rsidP="004B0C26">
            <w:pPr>
              <w:rPr>
                <w:rFonts w:eastAsia="Times New Roman"/>
                <w:sz w:val="18"/>
                <w:szCs w:val="18"/>
              </w:rPr>
            </w:pPr>
            <w:r w:rsidRPr="00605672">
              <w:rPr>
                <w:rFonts w:eastAsia="Times New Roman"/>
                <w:sz w:val="18"/>
                <w:szCs w:val="18"/>
              </w:rPr>
              <w:t>Minimum</w:t>
            </w:r>
          </w:p>
        </w:tc>
        <w:tc>
          <w:tcPr>
            <w:tcW w:w="572" w:type="dxa"/>
            <w:shd w:val="clear" w:color="auto" w:fill="auto"/>
            <w:noWrap/>
            <w:vAlign w:val="bottom"/>
          </w:tcPr>
          <w:p w14:paraId="41FA1894" w14:textId="77777777" w:rsidR="00921AE8" w:rsidRPr="00605672" w:rsidRDefault="00921AE8" w:rsidP="004B0C26">
            <w:pPr>
              <w:jc w:val="right"/>
              <w:rPr>
                <w:sz w:val="18"/>
                <w:szCs w:val="18"/>
              </w:rPr>
            </w:pPr>
            <w:r w:rsidRPr="00605672">
              <w:rPr>
                <w:sz w:val="18"/>
                <w:szCs w:val="18"/>
              </w:rPr>
              <w:t>1.00</w:t>
            </w:r>
          </w:p>
        </w:tc>
        <w:tc>
          <w:tcPr>
            <w:tcW w:w="573" w:type="dxa"/>
            <w:shd w:val="clear" w:color="auto" w:fill="auto"/>
            <w:noWrap/>
            <w:vAlign w:val="bottom"/>
          </w:tcPr>
          <w:p w14:paraId="328DB38B" w14:textId="77777777" w:rsidR="00921AE8" w:rsidRPr="00605672" w:rsidRDefault="00921AE8" w:rsidP="004B0C26">
            <w:pPr>
              <w:jc w:val="right"/>
              <w:rPr>
                <w:sz w:val="18"/>
                <w:szCs w:val="18"/>
              </w:rPr>
            </w:pPr>
            <w:r w:rsidRPr="00605672">
              <w:rPr>
                <w:sz w:val="18"/>
                <w:szCs w:val="18"/>
              </w:rPr>
              <w:t>1.00</w:t>
            </w:r>
          </w:p>
        </w:tc>
        <w:tc>
          <w:tcPr>
            <w:tcW w:w="573" w:type="dxa"/>
            <w:shd w:val="clear" w:color="auto" w:fill="auto"/>
            <w:noWrap/>
            <w:vAlign w:val="bottom"/>
          </w:tcPr>
          <w:p w14:paraId="012DA3CE" w14:textId="77777777" w:rsidR="00921AE8" w:rsidRPr="00605672" w:rsidRDefault="00921AE8" w:rsidP="004B0C26">
            <w:pPr>
              <w:jc w:val="right"/>
              <w:rPr>
                <w:sz w:val="18"/>
                <w:szCs w:val="18"/>
              </w:rPr>
            </w:pPr>
            <w:r w:rsidRPr="00605672">
              <w:rPr>
                <w:sz w:val="18"/>
                <w:szCs w:val="18"/>
              </w:rPr>
              <w:t>1.00</w:t>
            </w:r>
          </w:p>
        </w:tc>
        <w:tc>
          <w:tcPr>
            <w:tcW w:w="573" w:type="dxa"/>
            <w:shd w:val="clear" w:color="auto" w:fill="auto"/>
            <w:noWrap/>
            <w:vAlign w:val="bottom"/>
          </w:tcPr>
          <w:p w14:paraId="4EF1D42D" w14:textId="77777777" w:rsidR="00921AE8" w:rsidRPr="00605672" w:rsidRDefault="00921AE8" w:rsidP="004B0C26">
            <w:pPr>
              <w:jc w:val="right"/>
              <w:rPr>
                <w:sz w:val="18"/>
                <w:szCs w:val="18"/>
              </w:rPr>
            </w:pPr>
            <w:r w:rsidRPr="00605672">
              <w:rPr>
                <w:sz w:val="18"/>
                <w:szCs w:val="18"/>
              </w:rPr>
              <w:t>1.00</w:t>
            </w:r>
          </w:p>
        </w:tc>
        <w:tc>
          <w:tcPr>
            <w:tcW w:w="572" w:type="dxa"/>
            <w:shd w:val="clear" w:color="auto" w:fill="auto"/>
            <w:noWrap/>
            <w:vAlign w:val="bottom"/>
          </w:tcPr>
          <w:p w14:paraId="2E65A0FC" w14:textId="77777777" w:rsidR="00921AE8" w:rsidRPr="00605672" w:rsidRDefault="00921AE8" w:rsidP="004B0C26">
            <w:pPr>
              <w:jc w:val="right"/>
              <w:rPr>
                <w:sz w:val="18"/>
                <w:szCs w:val="18"/>
              </w:rPr>
            </w:pPr>
            <w:r w:rsidRPr="00605672">
              <w:rPr>
                <w:sz w:val="18"/>
                <w:szCs w:val="18"/>
              </w:rPr>
              <w:t>1.00</w:t>
            </w:r>
          </w:p>
        </w:tc>
        <w:tc>
          <w:tcPr>
            <w:tcW w:w="573" w:type="dxa"/>
            <w:shd w:val="clear" w:color="auto" w:fill="auto"/>
            <w:noWrap/>
            <w:vAlign w:val="bottom"/>
          </w:tcPr>
          <w:p w14:paraId="0BDDB24D" w14:textId="77777777" w:rsidR="00921AE8" w:rsidRPr="00605672" w:rsidRDefault="00921AE8" w:rsidP="004B0C26">
            <w:pPr>
              <w:jc w:val="right"/>
              <w:rPr>
                <w:sz w:val="18"/>
                <w:szCs w:val="18"/>
              </w:rPr>
            </w:pPr>
            <w:r w:rsidRPr="00605672">
              <w:rPr>
                <w:sz w:val="18"/>
                <w:szCs w:val="18"/>
              </w:rPr>
              <w:t>1.00</w:t>
            </w:r>
          </w:p>
        </w:tc>
        <w:tc>
          <w:tcPr>
            <w:tcW w:w="573" w:type="dxa"/>
            <w:shd w:val="clear" w:color="auto" w:fill="auto"/>
            <w:noWrap/>
            <w:vAlign w:val="bottom"/>
          </w:tcPr>
          <w:p w14:paraId="530DE3C7" w14:textId="77777777" w:rsidR="00921AE8" w:rsidRPr="00605672" w:rsidRDefault="00921AE8" w:rsidP="004B0C26">
            <w:pPr>
              <w:jc w:val="right"/>
              <w:rPr>
                <w:sz w:val="18"/>
                <w:szCs w:val="18"/>
              </w:rPr>
            </w:pPr>
            <w:r w:rsidRPr="00605672">
              <w:rPr>
                <w:sz w:val="18"/>
                <w:szCs w:val="18"/>
              </w:rPr>
              <w:t>1.00</w:t>
            </w:r>
          </w:p>
        </w:tc>
        <w:tc>
          <w:tcPr>
            <w:tcW w:w="573" w:type="dxa"/>
            <w:shd w:val="clear" w:color="auto" w:fill="auto"/>
            <w:noWrap/>
            <w:vAlign w:val="bottom"/>
          </w:tcPr>
          <w:p w14:paraId="56E81EC9" w14:textId="77777777" w:rsidR="00921AE8" w:rsidRPr="00605672" w:rsidRDefault="00921AE8" w:rsidP="004B0C26">
            <w:pPr>
              <w:jc w:val="right"/>
              <w:rPr>
                <w:sz w:val="18"/>
                <w:szCs w:val="18"/>
              </w:rPr>
            </w:pPr>
            <w:r w:rsidRPr="00605672">
              <w:rPr>
                <w:sz w:val="18"/>
                <w:szCs w:val="18"/>
              </w:rPr>
              <w:t>1.00</w:t>
            </w:r>
          </w:p>
        </w:tc>
        <w:tc>
          <w:tcPr>
            <w:tcW w:w="572" w:type="dxa"/>
            <w:shd w:val="clear" w:color="auto" w:fill="auto"/>
            <w:noWrap/>
            <w:vAlign w:val="bottom"/>
          </w:tcPr>
          <w:p w14:paraId="21F1E887" w14:textId="77777777" w:rsidR="00921AE8" w:rsidRPr="00605672" w:rsidRDefault="00921AE8" w:rsidP="004B0C26">
            <w:pPr>
              <w:jc w:val="right"/>
              <w:rPr>
                <w:sz w:val="18"/>
                <w:szCs w:val="18"/>
              </w:rPr>
            </w:pPr>
            <w:r w:rsidRPr="00605672">
              <w:rPr>
                <w:sz w:val="18"/>
                <w:szCs w:val="18"/>
              </w:rPr>
              <w:t>1.00</w:t>
            </w:r>
          </w:p>
        </w:tc>
        <w:tc>
          <w:tcPr>
            <w:tcW w:w="573" w:type="dxa"/>
            <w:shd w:val="clear" w:color="auto" w:fill="auto"/>
            <w:noWrap/>
            <w:vAlign w:val="bottom"/>
          </w:tcPr>
          <w:p w14:paraId="58723EE9" w14:textId="77777777" w:rsidR="00921AE8" w:rsidRPr="00605672" w:rsidRDefault="00921AE8" w:rsidP="004B0C26">
            <w:pPr>
              <w:jc w:val="right"/>
              <w:rPr>
                <w:sz w:val="18"/>
                <w:szCs w:val="18"/>
              </w:rPr>
            </w:pPr>
            <w:r w:rsidRPr="00605672">
              <w:rPr>
                <w:sz w:val="18"/>
                <w:szCs w:val="18"/>
              </w:rPr>
              <w:t>1.00</w:t>
            </w:r>
          </w:p>
        </w:tc>
        <w:tc>
          <w:tcPr>
            <w:tcW w:w="573" w:type="dxa"/>
            <w:shd w:val="clear" w:color="auto" w:fill="auto"/>
            <w:noWrap/>
            <w:vAlign w:val="bottom"/>
          </w:tcPr>
          <w:p w14:paraId="31E44F81" w14:textId="77777777" w:rsidR="00921AE8" w:rsidRPr="00605672" w:rsidRDefault="00921AE8" w:rsidP="004B0C26">
            <w:pPr>
              <w:jc w:val="right"/>
              <w:rPr>
                <w:sz w:val="18"/>
                <w:szCs w:val="18"/>
              </w:rPr>
            </w:pPr>
            <w:r w:rsidRPr="00605672">
              <w:rPr>
                <w:sz w:val="18"/>
                <w:szCs w:val="18"/>
              </w:rPr>
              <w:t>1.00</w:t>
            </w:r>
          </w:p>
        </w:tc>
        <w:tc>
          <w:tcPr>
            <w:tcW w:w="573" w:type="dxa"/>
            <w:shd w:val="clear" w:color="auto" w:fill="auto"/>
            <w:noWrap/>
            <w:vAlign w:val="bottom"/>
          </w:tcPr>
          <w:p w14:paraId="1ECAE00E" w14:textId="77777777" w:rsidR="00921AE8" w:rsidRPr="00605672" w:rsidRDefault="00921AE8" w:rsidP="004B0C26">
            <w:pPr>
              <w:jc w:val="right"/>
              <w:rPr>
                <w:sz w:val="18"/>
                <w:szCs w:val="18"/>
              </w:rPr>
            </w:pPr>
            <w:r w:rsidRPr="00605672">
              <w:rPr>
                <w:sz w:val="18"/>
                <w:szCs w:val="18"/>
              </w:rPr>
              <w:t>1.00</w:t>
            </w:r>
          </w:p>
        </w:tc>
        <w:tc>
          <w:tcPr>
            <w:tcW w:w="572" w:type="dxa"/>
            <w:shd w:val="clear" w:color="auto" w:fill="auto"/>
            <w:noWrap/>
            <w:vAlign w:val="bottom"/>
          </w:tcPr>
          <w:p w14:paraId="68024AE8" w14:textId="77777777" w:rsidR="00921AE8" w:rsidRPr="00605672" w:rsidRDefault="00921AE8" w:rsidP="004B0C26">
            <w:pPr>
              <w:jc w:val="right"/>
              <w:rPr>
                <w:sz w:val="18"/>
                <w:szCs w:val="18"/>
              </w:rPr>
            </w:pPr>
            <w:r w:rsidRPr="00605672">
              <w:rPr>
                <w:sz w:val="18"/>
                <w:szCs w:val="18"/>
              </w:rPr>
              <w:t>1.00</w:t>
            </w:r>
          </w:p>
        </w:tc>
        <w:tc>
          <w:tcPr>
            <w:tcW w:w="573" w:type="dxa"/>
            <w:shd w:val="clear" w:color="auto" w:fill="auto"/>
            <w:noWrap/>
            <w:vAlign w:val="bottom"/>
          </w:tcPr>
          <w:p w14:paraId="3B008D9C" w14:textId="77777777" w:rsidR="00921AE8" w:rsidRPr="00605672" w:rsidRDefault="00921AE8" w:rsidP="004B0C26">
            <w:pPr>
              <w:jc w:val="right"/>
              <w:rPr>
                <w:sz w:val="18"/>
                <w:szCs w:val="18"/>
              </w:rPr>
            </w:pPr>
            <w:r w:rsidRPr="00605672">
              <w:rPr>
                <w:sz w:val="18"/>
                <w:szCs w:val="18"/>
              </w:rPr>
              <w:t>2.00</w:t>
            </w:r>
          </w:p>
        </w:tc>
        <w:tc>
          <w:tcPr>
            <w:tcW w:w="573" w:type="dxa"/>
            <w:shd w:val="clear" w:color="auto" w:fill="auto"/>
            <w:noWrap/>
            <w:vAlign w:val="bottom"/>
          </w:tcPr>
          <w:p w14:paraId="1F455FA8" w14:textId="77777777" w:rsidR="00921AE8" w:rsidRPr="00605672" w:rsidRDefault="00921AE8" w:rsidP="004B0C26">
            <w:pPr>
              <w:jc w:val="right"/>
              <w:rPr>
                <w:sz w:val="18"/>
                <w:szCs w:val="18"/>
              </w:rPr>
            </w:pPr>
            <w:r w:rsidRPr="00605672">
              <w:rPr>
                <w:sz w:val="18"/>
                <w:szCs w:val="18"/>
              </w:rPr>
              <w:t>2.00</w:t>
            </w:r>
          </w:p>
        </w:tc>
        <w:tc>
          <w:tcPr>
            <w:tcW w:w="573" w:type="dxa"/>
            <w:shd w:val="clear" w:color="auto" w:fill="auto"/>
            <w:noWrap/>
            <w:vAlign w:val="bottom"/>
          </w:tcPr>
          <w:p w14:paraId="43737C88" w14:textId="77777777" w:rsidR="00921AE8" w:rsidRPr="00605672" w:rsidRDefault="00921AE8" w:rsidP="004B0C26">
            <w:pPr>
              <w:jc w:val="right"/>
              <w:rPr>
                <w:sz w:val="18"/>
                <w:szCs w:val="18"/>
              </w:rPr>
            </w:pPr>
            <w:r w:rsidRPr="00605672">
              <w:rPr>
                <w:sz w:val="18"/>
                <w:szCs w:val="18"/>
              </w:rPr>
              <w:t>.00</w:t>
            </w:r>
          </w:p>
        </w:tc>
        <w:tc>
          <w:tcPr>
            <w:tcW w:w="573" w:type="dxa"/>
            <w:shd w:val="clear" w:color="auto" w:fill="auto"/>
            <w:noWrap/>
            <w:vAlign w:val="bottom"/>
          </w:tcPr>
          <w:p w14:paraId="407D58B4" w14:textId="77777777" w:rsidR="00921AE8" w:rsidRPr="00605672" w:rsidRDefault="00921AE8" w:rsidP="004B0C26">
            <w:pPr>
              <w:jc w:val="right"/>
              <w:rPr>
                <w:sz w:val="18"/>
                <w:szCs w:val="18"/>
              </w:rPr>
            </w:pPr>
            <w:r w:rsidRPr="00605672">
              <w:rPr>
                <w:sz w:val="18"/>
                <w:szCs w:val="18"/>
              </w:rPr>
              <w:t>1.00</w:t>
            </w:r>
          </w:p>
        </w:tc>
      </w:tr>
      <w:tr w:rsidR="0062648F" w:rsidRPr="00605672" w14:paraId="0A7DE6E2" w14:textId="77777777" w:rsidTr="0062648F">
        <w:trPr>
          <w:trHeight w:val="227"/>
          <w:jc w:val="center"/>
        </w:trPr>
        <w:tc>
          <w:tcPr>
            <w:tcW w:w="4518" w:type="dxa"/>
            <w:tcBorders>
              <w:bottom w:val="single" w:sz="4" w:space="0" w:color="auto"/>
            </w:tcBorders>
            <w:shd w:val="clear" w:color="auto" w:fill="auto"/>
            <w:noWrap/>
          </w:tcPr>
          <w:p w14:paraId="36E260DD" w14:textId="77777777" w:rsidR="00921AE8" w:rsidRPr="00605672" w:rsidRDefault="00921AE8" w:rsidP="004B0C26">
            <w:pPr>
              <w:rPr>
                <w:rFonts w:eastAsia="Times New Roman"/>
                <w:sz w:val="18"/>
                <w:szCs w:val="18"/>
              </w:rPr>
            </w:pPr>
            <w:r w:rsidRPr="00605672">
              <w:rPr>
                <w:rFonts w:eastAsia="Times New Roman"/>
                <w:sz w:val="18"/>
                <w:szCs w:val="18"/>
              </w:rPr>
              <w:t>Maximum</w:t>
            </w:r>
          </w:p>
        </w:tc>
        <w:tc>
          <w:tcPr>
            <w:tcW w:w="572" w:type="dxa"/>
            <w:tcBorders>
              <w:bottom w:val="single" w:sz="4" w:space="0" w:color="auto"/>
            </w:tcBorders>
            <w:shd w:val="clear" w:color="auto" w:fill="auto"/>
            <w:noWrap/>
            <w:vAlign w:val="bottom"/>
          </w:tcPr>
          <w:p w14:paraId="25AAD714" w14:textId="77777777" w:rsidR="00921AE8" w:rsidRPr="00605672" w:rsidRDefault="00921AE8" w:rsidP="004B0C26">
            <w:pPr>
              <w:jc w:val="right"/>
              <w:rPr>
                <w:sz w:val="18"/>
                <w:szCs w:val="18"/>
              </w:rPr>
            </w:pPr>
            <w:r w:rsidRPr="00605672">
              <w:rPr>
                <w:sz w:val="18"/>
                <w:szCs w:val="18"/>
              </w:rPr>
              <w:t>3.86</w:t>
            </w:r>
          </w:p>
        </w:tc>
        <w:tc>
          <w:tcPr>
            <w:tcW w:w="573" w:type="dxa"/>
            <w:tcBorders>
              <w:bottom w:val="single" w:sz="4" w:space="0" w:color="auto"/>
            </w:tcBorders>
            <w:shd w:val="clear" w:color="auto" w:fill="auto"/>
            <w:noWrap/>
            <w:vAlign w:val="bottom"/>
          </w:tcPr>
          <w:p w14:paraId="2609D71C" w14:textId="77777777" w:rsidR="00921AE8" w:rsidRPr="00605672" w:rsidRDefault="00921AE8" w:rsidP="004B0C26">
            <w:pPr>
              <w:jc w:val="right"/>
              <w:rPr>
                <w:sz w:val="18"/>
                <w:szCs w:val="18"/>
              </w:rPr>
            </w:pPr>
            <w:r w:rsidRPr="00605672">
              <w:rPr>
                <w:sz w:val="18"/>
                <w:szCs w:val="18"/>
              </w:rPr>
              <w:t>6.67</w:t>
            </w:r>
          </w:p>
        </w:tc>
        <w:tc>
          <w:tcPr>
            <w:tcW w:w="573" w:type="dxa"/>
            <w:tcBorders>
              <w:bottom w:val="single" w:sz="4" w:space="0" w:color="auto"/>
            </w:tcBorders>
            <w:shd w:val="clear" w:color="auto" w:fill="auto"/>
            <w:noWrap/>
            <w:vAlign w:val="bottom"/>
          </w:tcPr>
          <w:p w14:paraId="628E1387" w14:textId="77777777" w:rsidR="00921AE8" w:rsidRPr="00605672" w:rsidRDefault="00921AE8" w:rsidP="004B0C26">
            <w:pPr>
              <w:jc w:val="right"/>
              <w:rPr>
                <w:sz w:val="18"/>
                <w:szCs w:val="18"/>
              </w:rPr>
            </w:pPr>
            <w:r w:rsidRPr="00605672">
              <w:rPr>
                <w:sz w:val="18"/>
                <w:szCs w:val="18"/>
              </w:rPr>
              <w:t>5.75</w:t>
            </w:r>
          </w:p>
        </w:tc>
        <w:tc>
          <w:tcPr>
            <w:tcW w:w="573" w:type="dxa"/>
            <w:tcBorders>
              <w:bottom w:val="single" w:sz="4" w:space="0" w:color="auto"/>
            </w:tcBorders>
            <w:shd w:val="clear" w:color="auto" w:fill="auto"/>
            <w:noWrap/>
            <w:vAlign w:val="bottom"/>
          </w:tcPr>
          <w:p w14:paraId="7F901162" w14:textId="77777777" w:rsidR="00921AE8" w:rsidRPr="00605672" w:rsidRDefault="00921AE8" w:rsidP="004B0C26">
            <w:pPr>
              <w:jc w:val="right"/>
              <w:rPr>
                <w:sz w:val="18"/>
                <w:szCs w:val="18"/>
              </w:rPr>
            </w:pPr>
            <w:r w:rsidRPr="00605672">
              <w:rPr>
                <w:sz w:val="18"/>
                <w:szCs w:val="18"/>
              </w:rPr>
              <w:t>6.33</w:t>
            </w:r>
          </w:p>
        </w:tc>
        <w:tc>
          <w:tcPr>
            <w:tcW w:w="572" w:type="dxa"/>
            <w:tcBorders>
              <w:bottom w:val="single" w:sz="4" w:space="0" w:color="auto"/>
            </w:tcBorders>
            <w:shd w:val="clear" w:color="auto" w:fill="auto"/>
            <w:noWrap/>
            <w:vAlign w:val="bottom"/>
          </w:tcPr>
          <w:p w14:paraId="54F7D9A8" w14:textId="77777777" w:rsidR="00921AE8" w:rsidRPr="00605672" w:rsidRDefault="00921AE8" w:rsidP="004B0C26">
            <w:pPr>
              <w:jc w:val="right"/>
              <w:rPr>
                <w:sz w:val="18"/>
                <w:szCs w:val="18"/>
              </w:rPr>
            </w:pPr>
            <w:r w:rsidRPr="00605672">
              <w:rPr>
                <w:sz w:val="18"/>
                <w:szCs w:val="18"/>
              </w:rPr>
              <w:t>5.75</w:t>
            </w:r>
          </w:p>
        </w:tc>
        <w:tc>
          <w:tcPr>
            <w:tcW w:w="573" w:type="dxa"/>
            <w:tcBorders>
              <w:bottom w:val="single" w:sz="4" w:space="0" w:color="auto"/>
            </w:tcBorders>
            <w:shd w:val="clear" w:color="auto" w:fill="auto"/>
            <w:noWrap/>
            <w:vAlign w:val="bottom"/>
          </w:tcPr>
          <w:p w14:paraId="4365E204" w14:textId="77777777" w:rsidR="00921AE8" w:rsidRPr="00605672" w:rsidRDefault="00921AE8" w:rsidP="004B0C26">
            <w:pPr>
              <w:jc w:val="right"/>
              <w:rPr>
                <w:sz w:val="18"/>
                <w:szCs w:val="18"/>
              </w:rPr>
            </w:pPr>
            <w:r w:rsidRPr="00605672">
              <w:rPr>
                <w:sz w:val="18"/>
                <w:szCs w:val="18"/>
              </w:rPr>
              <w:t>7.00</w:t>
            </w:r>
          </w:p>
        </w:tc>
        <w:tc>
          <w:tcPr>
            <w:tcW w:w="573" w:type="dxa"/>
            <w:tcBorders>
              <w:bottom w:val="single" w:sz="4" w:space="0" w:color="auto"/>
            </w:tcBorders>
            <w:shd w:val="clear" w:color="auto" w:fill="auto"/>
            <w:noWrap/>
            <w:vAlign w:val="bottom"/>
          </w:tcPr>
          <w:p w14:paraId="369C8114" w14:textId="77777777" w:rsidR="00921AE8" w:rsidRPr="00605672" w:rsidRDefault="00921AE8" w:rsidP="004B0C26">
            <w:pPr>
              <w:jc w:val="right"/>
              <w:rPr>
                <w:sz w:val="18"/>
                <w:szCs w:val="18"/>
              </w:rPr>
            </w:pPr>
            <w:r w:rsidRPr="00605672">
              <w:rPr>
                <w:sz w:val="18"/>
                <w:szCs w:val="18"/>
              </w:rPr>
              <w:t>7.00</w:t>
            </w:r>
          </w:p>
        </w:tc>
        <w:tc>
          <w:tcPr>
            <w:tcW w:w="573" w:type="dxa"/>
            <w:tcBorders>
              <w:bottom w:val="single" w:sz="4" w:space="0" w:color="auto"/>
            </w:tcBorders>
            <w:shd w:val="clear" w:color="auto" w:fill="auto"/>
            <w:noWrap/>
            <w:vAlign w:val="bottom"/>
          </w:tcPr>
          <w:p w14:paraId="2D10BD00" w14:textId="77777777" w:rsidR="00921AE8" w:rsidRPr="00605672" w:rsidRDefault="00921AE8" w:rsidP="004B0C26">
            <w:pPr>
              <w:jc w:val="right"/>
              <w:rPr>
                <w:sz w:val="18"/>
                <w:szCs w:val="18"/>
              </w:rPr>
            </w:pPr>
            <w:r w:rsidRPr="00605672">
              <w:rPr>
                <w:sz w:val="18"/>
                <w:szCs w:val="18"/>
              </w:rPr>
              <w:t>2.00</w:t>
            </w:r>
          </w:p>
        </w:tc>
        <w:tc>
          <w:tcPr>
            <w:tcW w:w="572" w:type="dxa"/>
            <w:tcBorders>
              <w:bottom w:val="single" w:sz="4" w:space="0" w:color="auto"/>
            </w:tcBorders>
            <w:shd w:val="clear" w:color="auto" w:fill="auto"/>
            <w:noWrap/>
            <w:vAlign w:val="bottom"/>
          </w:tcPr>
          <w:p w14:paraId="762F6F94" w14:textId="77777777" w:rsidR="00921AE8" w:rsidRPr="00605672" w:rsidRDefault="00921AE8" w:rsidP="004B0C26">
            <w:pPr>
              <w:jc w:val="right"/>
              <w:rPr>
                <w:sz w:val="18"/>
                <w:szCs w:val="18"/>
              </w:rPr>
            </w:pPr>
            <w:r w:rsidRPr="00605672">
              <w:rPr>
                <w:sz w:val="18"/>
                <w:szCs w:val="18"/>
              </w:rPr>
              <w:t>6.00</w:t>
            </w:r>
          </w:p>
        </w:tc>
        <w:tc>
          <w:tcPr>
            <w:tcW w:w="573" w:type="dxa"/>
            <w:tcBorders>
              <w:bottom w:val="single" w:sz="4" w:space="0" w:color="auto"/>
            </w:tcBorders>
            <w:shd w:val="clear" w:color="auto" w:fill="auto"/>
            <w:noWrap/>
            <w:vAlign w:val="bottom"/>
          </w:tcPr>
          <w:p w14:paraId="14D88504" w14:textId="77777777" w:rsidR="00921AE8" w:rsidRPr="00605672" w:rsidRDefault="00921AE8" w:rsidP="004B0C26">
            <w:pPr>
              <w:jc w:val="right"/>
              <w:rPr>
                <w:sz w:val="18"/>
                <w:szCs w:val="18"/>
              </w:rPr>
            </w:pPr>
            <w:r w:rsidRPr="00605672">
              <w:rPr>
                <w:sz w:val="18"/>
                <w:szCs w:val="18"/>
              </w:rPr>
              <w:t>7.00</w:t>
            </w:r>
          </w:p>
        </w:tc>
        <w:tc>
          <w:tcPr>
            <w:tcW w:w="573" w:type="dxa"/>
            <w:tcBorders>
              <w:bottom w:val="single" w:sz="4" w:space="0" w:color="auto"/>
            </w:tcBorders>
            <w:shd w:val="clear" w:color="auto" w:fill="auto"/>
            <w:noWrap/>
            <w:vAlign w:val="bottom"/>
          </w:tcPr>
          <w:p w14:paraId="5173B4DB" w14:textId="77777777" w:rsidR="00921AE8" w:rsidRPr="00605672" w:rsidRDefault="00921AE8" w:rsidP="004B0C26">
            <w:pPr>
              <w:jc w:val="right"/>
              <w:rPr>
                <w:sz w:val="18"/>
                <w:szCs w:val="18"/>
              </w:rPr>
            </w:pPr>
            <w:r w:rsidRPr="00605672">
              <w:rPr>
                <w:sz w:val="18"/>
                <w:szCs w:val="18"/>
              </w:rPr>
              <w:t>7.00</w:t>
            </w:r>
          </w:p>
        </w:tc>
        <w:tc>
          <w:tcPr>
            <w:tcW w:w="573" w:type="dxa"/>
            <w:tcBorders>
              <w:bottom w:val="single" w:sz="4" w:space="0" w:color="auto"/>
            </w:tcBorders>
            <w:shd w:val="clear" w:color="auto" w:fill="auto"/>
            <w:noWrap/>
            <w:vAlign w:val="bottom"/>
          </w:tcPr>
          <w:p w14:paraId="5EEE1D8F" w14:textId="77777777" w:rsidR="00921AE8" w:rsidRPr="00605672" w:rsidRDefault="00921AE8" w:rsidP="004B0C26">
            <w:pPr>
              <w:jc w:val="right"/>
              <w:rPr>
                <w:sz w:val="18"/>
                <w:szCs w:val="18"/>
              </w:rPr>
            </w:pPr>
            <w:r w:rsidRPr="00605672">
              <w:rPr>
                <w:sz w:val="18"/>
                <w:szCs w:val="18"/>
              </w:rPr>
              <w:t>7.00</w:t>
            </w:r>
          </w:p>
        </w:tc>
        <w:tc>
          <w:tcPr>
            <w:tcW w:w="572" w:type="dxa"/>
            <w:tcBorders>
              <w:bottom w:val="single" w:sz="4" w:space="0" w:color="auto"/>
            </w:tcBorders>
            <w:shd w:val="clear" w:color="auto" w:fill="auto"/>
            <w:noWrap/>
            <w:vAlign w:val="bottom"/>
          </w:tcPr>
          <w:p w14:paraId="6FF0D548" w14:textId="77777777" w:rsidR="00921AE8" w:rsidRPr="00605672" w:rsidRDefault="00921AE8" w:rsidP="004B0C26">
            <w:pPr>
              <w:jc w:val="right"/>
              <w:rPr>
                <w:sz w:val="18"/>
                <w:szCs w:val="18"/>
              </w:rPr>
            </w:pPr>
            <w:r w:rsidRPr="00605672">
              <w:rPr>
                <w:sz w:val="18"/>
                <w:szCs w:val="18"/>
              </w:rPr>
              <w:t>7.00</w:t>
            </w:r>
          </w:p>
        </w:tc>
        <w:tc>
          <w:tcPr>
            <w:tcW w:w="573" w:type="dxa"/>
            <w:tcBorders>
              <w:bottom w:val="single" w:sz="4" w:space="0" w:color="auto"/>
            </w:tcBorders>
            <w:shd w:val="clear" w:color="auto" w:fill="auto"/>
            <w:noWrap/>
            <w:vAlign w:val="bottom"/>
          </w:tcPr>
          <w:p w14:paraId="05331F4D" w14:textId="77777777" w:rsidR="00921AE8" w:rsidRPr="00605672" w:rsidRDefault="00921AE8" w:rsidP="004B0C26">
            <w:pPr>
              <w:jc w:val="right"/>
              <w:rPr>
                <w:sz w:val="18"/>
                <w:szCs w:val="18"/>
              </w:rPr>
            </w:pPr>
            <w:r w:rsidRPr="00605672">
              <w:rPr>
                <w:sz w:val="18"/>
                <w:szCs w:val="18"/>
              </w:rPr>
              <w:t>7.00</w:t>
            </w:r>
          </w:p>
        </w:tc>
        <w:tc>
          <w:tcPr>
            <w:tcW w:w="573" w:type="dxa"/>
            <w:tcBorders>
              <w:bottom w:val="single" w:sz="4" w:space="0" w:color="auto"/>
            </w:tcBorders>
            <w:shd w:val="clear" w:color="auto" w:fill="auto"/>
            <w:noWrap/>
            <w:vAlign w:val="bottom"/>
          </w:tcPr>
          <w:p w14:paraId="15446F11" w14:textId="77777777" w:rsidR="00921AE8" w:rsidRPr="00605672" w:rsidRDefault="00921AE8" w:rsidP="004B0C26">
            <w:pPr>
              <w:jc w:val="right"/>
              <w:rPr>
                <w:sz w:val="18"/>
                <w:szCs w:val="18"/>
              </w:rPr>
            </w:pPr>
            <w:r w:rsidRPr="00605672">
              <w:rPr>
                <w:sz w:val="18"/>
                <w:szCs w:val="18"/>
              </w:rPr>
              <w:t>7.00</w:t>
            </w:r>
          </w:p>
        </w:tc>
        <w:tc>
          <w:tcPr>
            <w:tcW w:w="573" w:type="dxa"/>
            <w:tcBorders>
              <w:bottom w:val="single" w:sz="4" w:space="0" w:color="auto"/>
            </w:tcBorders>
            <w:shd w:val="clear" w:color="auto" w:fill="auto"/>
            <w:noWrap/>
            <w:vAlign w:val="bottom"/>
          </w:tcPr>
          <w:p w14:paraId="7D65AB73" w14:textId="77777777" w:rsidR="00921AE8" w:rsidRPr="00605672" w:rsidRDefault="00921AE8" w:rsidP="004B0C26">
            <w:pPr>
              <w:jc w:val="right"/>
              <w:rPr>
                <w:sz w:val="18"/>
                <w:szCs w:val="18"/>
              </w:rPr>
            </w:pPr>
            <w:r w:rsidRPr="00605672">
              <w:rPr>
                <w:sz w:val="18"/>
                <w:szCs w:val="18"/>
              </w:rPr>
              <w:t>1.00</w:t>
            </w:r>
          </w:p>
        </w:tc>
        <w:tc>
          <w:tcPr>
            <w:tcW w:w="573" w:type="dxa"/>
            <w:tcBorders>
              <w:bottom w:val="single" w:sz="4" w:space="0" w:color="auto"/>
            </w:tcBorders>
            <w:shd w:val="clear" w:color="auto" w:fill="auto"/>
            <w:noWrap/>
            <w:vAlign w:val="bottom"/>
          </w:tcPr>
          <w:p w14:paraId="406F5789" w14:textId="77777777" w:rsidR="00921AE8" w:rsidRPr="00605672" w:rsidRDefault="00921AE8" w:rsidP="004B0C26">
            <w:pPr>
              <w:jc w:val="right"/>
              <w:rPr>
                <w:sz w:val="18"/>
                <w:szCs w:val="18"/>
              </w:rPr>
            </w:pPr>
            <w:r w:rsidRPr="00605672">
              <w:rPr>
                <w:sz w:val="18"/>
                <w:szCs w:val="18"/>
              </w:rPr>
              <w:t>5.00</w:t>
            </w:r>
          </w:p>
        </w:tc>
      </w:tr>
    </w:tbl>
    <w:p w14:paraId="2EDF1B11" w14:textId="6FEB87C4" w:rsidR="004A1B6C" w:rsidRDefault="00FC679E" w:rsidP="00727D37">
      <w:pPr>
        <w:rPr>
          <w:sz w:val="20"/>
          <w:szCs w:val="20"/>
        </w:rPr>
      </w:pPr>
      <w:r>
        <w:rPr>
          <w:sz w:val="18"/>
          <w:szCs w:val="18"/>
        </w:rPr>
        <w:t xml:space="preserve">Notes: </w:t>
      </w:r>
      <w:r w:rsidR="00E7738E" w:rsidRPr="00605672">
        <w:rPr>
          <w:sz w:val="20"/>
          <w:szCs w:val="20"/>
        </w:rPr>
        <w:t>Correlations of |r &gt;</w:t>
      </w:r>
      <w:r>
        <w:rPr>
          <w:sz w:val="20"/>
          <w:szCs w:val="20"/>
        </w:rPr>
        <w:t xml:space="preserve"> </w:t>
      </w:r>
      <w:r w:rsidR="00E7738E" w:rsidRPr="00605672">
        <w:rPr>
          <w:sz w:val="20"/>
          <w:szCs w:val="20"/>
        </w:rPr>
        <w:t>.20| are significant</w:t>
      </w:r>
      <w:r>
        <w:rPr>
          <w:sz w:val="20"/>
          <w:szCs w:val="20"/>
        </w:rPr>
        <w:t xml:space="preserve"> at</w:t>
      </w:r>
      <w:r w:rsidR="00E7738E" w:rsidRPr="00605672">
        <w:rPr>
          <w:sz w:val="20"/>
          <w:szCs w:val="20"/>
        </w:rPr>
        <w:t xml:space="preserve"> </w:t>
      </w:r>
      <w:r w:rsidR="00E7738E" w:rsidRPr="00605672">
        <w:rPr>
          <w:i/>
          <w:sz w:val="20"/>
          <w:szCs w:val="20"/>
        </w:rPr>
        <w:t>p</w:t>
      </w:r>
      <w:r w:rsidR="00E7738E" w:rsidRPr="00605672">
        <w:rPr>
          <w:sz w:val="20"/>
          <w:szCs w:val="20"/>
        </w:rPr>
        <w:t xml:space="preserve"> &lt;</w:t>
      </w:r>
      <w:r>
        <w:rPr>
          <w:sz w:val="20"/>
          <w:szCs w:val="20"/>
        </w:rPr>
        <w:t xml:space="preserve"> </w:t>
      </w:r>
      <w:r w:rsidR="00E7738E" w:rsidRPr="00605672">
        <w:rPr>
          <w:sz w:val="20"/>
          <w:szCs w:val="20"/>
        </w:rPr>
        <w:t>.05</w:t>
      </w:r>
      <w:r>
        <w:rPr>
          <w:sz w:val="20"/>
          <w:szCs w:val="20"/>
        </w:rPr>
        <w:t xml:space="preserve"> (</w:t>
      </w:r>
      <w:r w:rsidR="00E7738E" w:rsidRPr="00605672">
        <w:rPr>
          <w:sz w:val="20"/>
          <w:szCs w:val="20"/>
        </w:rPr>
        <w:t>two</w:t>
      </w:r>
      <w:r>
        <w:rPr>
          <w:sz w:val="20"/>
          <w:szCs w:val="20"/>
        </w:rPr>
        <w:t>-</w:t>
      </w:r>
      <w:r w:rsidR="00E7738E" w:rsidRPr="00605672">
        <w:rPr>
          <w:sz w:val="20"/>
          <w:szCs w:val="20"/>
        </w:rPr>
        <w:t>sided</w:t>
      </w:r>
      <w:r>
        <w:rPr>
          <w:sz w:val="20"/>
          <w:szCs w:val="20"/>
        </w:rPr>
        <w:t>)</w:t>
      </w:r>
      <w:r w:rsidR="00E7738E" w:rsidRPr="00605672">
        <w:rPr>
          <w:sz w:val="20"/>
          <w:szCs w:val="20"/>
        </w:rPr>
        <w:t>.</w:t>
      </w:r>
      <w:r w:rsidR="00B44D7E" w:rsidRPr="00605672">
        <w:rPr>
          <w:sz w:val="20"/>
          <w:szCs w:val="20"/>
        </w:rPr>
        <w:t xml:space="preserve"> </w:t>
      </w:r>
      <w:r w:rsidR="00236DC0" w:rsidRPr="00605672">
        <w:rPr>
          <w:sz w:val="20"/>
          <w:szCs w:val="20"/>
        </w:rPr>
        <w:t>All value</w:t>
      </w:r>
      <w:r w:rsidR="009569AB" w:rsidRPr="00605672">
        <w:rPr>
          <w:sz w:val="20"/>
          <w:szCs w:val="20"/>
        </w:rPr>
        <w:t xml:space="preserve">s for </w:t>
      </w:r>
      <w:r w:rsidR="00F11744" w:rsidRPr="00605672">
        <w:rPr>
          <w:sz w:val="20"/>
          <w:szCs w:val="20"/>
        </w:rPr>
        <w:t xml:space="preserve">the multi-item </w:t>
      </w:r>
      <w:r w:rsidR="00AE78B9" w:rsidRPr="00605672">
        <w:rPr>
          <w:sz w:val="20"/>
          <w:szCs w:val="20"/>
        </w:rPr>
        <w:t>scales</w:t>
      </w:r>
      <w:r w:rsidR="00236DC0" w:rsidRPr="00605672">
        <w:rPr>
          <w:sz w:val="20"/>
          <w:szCs w:val="20"/>
        </w:rPr>
        <w:t xml:space="preserve"> are </w:t>
      </w:r>
      <w:r w:rsidR="00701D20" w:rsidRPr="00605672">
        <w:rPr>
          <w:sz w:val="20"/>
          <w:szCs w:val="20"/>
        </w:rPr>
        <w:t xml:space="preserve">based on </w:t>
      </w:r>
      <w:r w:rsidR="00236DC0" w:rsidRPr="00605672">
        <w:rPr>
          <w:sz w:val="20"/>
          <w:szCs w:val="20"/>
        </w:rPr>
        <w:t>raw scores</w:t>
      </w:r>
      <w:r w:rsidR="009569AB" w:rsidRPr="00605672">
        <w:rPr>
          <w:sz w:val="20"/>
          <w:szCs w:val="20"/>
        </w:rPr>
        <w:t xml:space="preserve"> (i.e., means of the items)</w:t>
      </w:r>
      <w:r w:rsidR="00236DC0" w:rsidRPr="00605672">
        <w:rPr>
          <w:sz w:val="20"/>
          <w:szCs w:val="20"/>
        </w:rPr>
        <w:t xml:space="preserve">. </w:t>
      </w:r>
      <w:r>
        <w:rPr>
          <w:sz w:val="20"/>
          <w:szCs w:val="20"/>
        </w:rPr>
        <w:t xml:space="preserve">N </w:t>
      </w:r>
      <w:r w:rsidR="00B44D7E" w:rsidRPr="00605672">
        <w:rPr>
          <w:sz w:val="20"/>
          <w:szCs w:val="20"/>
        </w:rPr>
        <w:t>=</w:t>
      </w:r>
      <w:r>
        <w:rPr>
          <w:sz w:val="20"/>
          <w:szCs w:val="20"/>
        </w:rPr>
        <w:t xml:space="preserve"> </w:t>
      </w:r>
      <w:r w:rsidR="00B44D7E" w:rsidRPr="00605672">
        <w:rPr>
          <w:sz w:val="20"/>
          <w:szCs w:val="20"/>
        </w:rPr>
        <w:t>100</w:t>
      </w:r>
      <w:r>
        <w:rPr>
          <w:sz w:val="20"/>
          <w:szCs w:val="20"/>
        </w:rPr>
        <w:t>.</w:t>
      </w:r>
    </w:p>
    <w:p w14:paraId="401E2FD8" w14:textId="77777777" w:rsidR="000A3480" w:rsidRPr="00605672" w:rsidRDefault="000A3480" w:rsidP="008B040E">
      <w:pPr>
        <w:jc w:val="center"/>
        <w:rPr>
          <w:b/>
        </w:rPr>
      </w:pPr>
    </w:p>
    <w:p w14:paraId="611E550C" w14:textId="77777777" w:rsidR="000A3480" w:rsidRPr="00605672" w:rsidRDefault="000A3480" w:rsidP="008B040E">
      <w:pPr>
        <w:jc w:val="center"/>
        <w:rPr>
          <w:b/>
        </w:rPr>
      </w:pPr>
    </w:p>
    <w:p w14:paraId="63B1968F" w14:textId="77777777" w:rsidR="000A3480" w:rsidRPr="00605672" w:rsidRDefault="000A3480" w:rsidP="008B040E">
      <w:pPr>
        <w:jc w:val="center"/>
        <w:rPr>
          <w:b/>
        </w:rPr>
        <w:sectPr w:rsidR="000A3480" w:rsidRPr="00605672" w:rsidSect="00975618">
          <w:footerReference w:type="even" r:id="rId11"/>
          <w:footerReference w:type="default" r:id="rId12"/>
          <w:pgSz w:w="15840" w:h="12240" w:orient="landscape"/>
          <w:pgMar w:top="1440" w:right="1440" w:bottom="1440" w:left="1440" w:header="720" w:footer="720" w:gutter="0"/>
          <w:cols w:space="720"/>
          <w:docGrid w:linePitch="360"/>
        </w:sectPr>
      </w:pPr>
    </w:p>
    <w:p w14:paraId="2EE9C6B0" w14:textId="39C46F34" w:rsidR="00B10259" w:rsidRPr="00605672" w:rsidRDefault="007B601B" w:rsidP="00B10259">
      <w:pPr>
        <w:spacing w:line="360" w:lineRule="auto"/>
        <w:jc w:val="center"/>
        <w:rPr>
          <w:b/>
        </w:rPr>
      </w:pPr>
      <w:r w:rsidRPr="00605672">
        <w:rPr>
          <w:b/>
        </w:rPr>
        <w:lastRenderedPageBreak/>
        <w:t>Table 2</w:t>
      </w:r>
      <w:r w:rsidR="00FC679E">
        <w:rPr>
          <w:b/>
        </w:rPr>
        <w:t>,</w:t>
      </w:r>
      <w:r w:rsidRPr="00605672">
        <w:rPr>
          <w:b/>
        </w:rPr>
        <w:t xml:space="preserve"> SUEST Estimates of Drivers of </w:t>
      </w:r>
      <w:r w:rsidR="00191A10" w:rsidRPr="00605672">
        <w:rPr>
          <w:b/>
        </w:rPr>
        <w:t>Incremental</w:t>
      </w:r>
      <w:r w:rsidR="00B10259" w:rsidRPr="00605672">
        <w:rPr>
          <w:b/>
        </w:rPr>
        <w:t xml:space="preserve"> </w:t>
      </w:r>
      <w:r w:rsidRPr="00605672">
        <w:rPr>
          <w:b/>
        </w:rPr>
        <w:t>I</w:t>
      </w:r>
      <w:r w:rsidR="00B10259" w:rsidRPr="00605672">
        <w:rPr>
          <w:b/>
        </w:rPr>
        <w:t xml:space="preserve">nvestments and </w:t>
      </w:r>
      <w:r w:rsidRPr="00605672">
        <w:rPr>
          <w:b/>
        </w:rPr>
        <w:t>E</w:t>
      </w:r>
      <w:r w:rsidR="00B10259" w:rsidRPr="00605672">
        <w:rPr>
          <w:b/>
        </w:rPr>
        <w:t xml:space="preserve">x </w:t>
      </w:r>
      <w:r w:rsidRPr="00605672">
        <w:rPr>
          <w:b/>
        </w:rPr>
        <w:t>P</w:t>
      </w:r>
      <w:r w:rsidR="00B10259" w:rsidRPr="00605672">
        <w:rPr>
          <w:b/>
        </w:rPr>
        <w:t xml:space="preserve">ost </w:t>
      </w:r>
      <w:r w:rsidRPr="00605672">
        <w:rPr>
          <w:b/>
        </w:rPr>
        <w:t>Transaction C</w:t>
      </w:r>
      <w:r w:rsidR="00B10259" w:rsidRPr="00605672">
        <w:rPr>
          <w:b/>
        </w:rPr>
        <w:t>osts</w:t>
      </w:r>
    </w:p>
    <w:tbl>
      <w:tblPr>
        <w:tblW w:w="12571" w:type="dxa"/>
        <w:jc w:val="center"/>
        <w:tblLayout w:type="fixed"/>
        <w:tblLook w:val="04A0" w:firstRow="1" w:lastRow="0" w:firstColumn="1" w:lastColumn="0" w:noHBand="0" w:noVBand="1"/>
      </w:tblPr>
      <w:tblGrid>
        <w:gridCol w:w="5246"/>
        <w:gridCol w:w="1510"/>
        <w:gridCol w:w="1100"/>
        <w:gridCol w:w="1597"/>
        <w:gridCol w:w="1134"/>
        <w:gridCol w:w="1289"/>
        <w:gridCol w:w="695"/>
      </w:tblGrid>
      <w:tr w:rsidR="00B10259" w:rsidRPr="00605672" w14:paraId="171F8BE4" w14:textId="77777777" w:rsidTr="002E6B3C">
        <w:trPr>
          <w:cantSplit/>
          <w:trHeight w:hRule="exact" w:val="435"/>
          <w:jc w:val="center"/>
        </w:trPr>
        <w:tc>
          <w:tcPr>
            <w:tcW w:w="5246" w:type="dxa"/>
            <w:tcBorders>
              <w:top w:val="double" w:sz="4" w:space="0" w:color="auto"/>
            </w:tcBorders>
            <w:shd w:val="clear" w:color="auto" w:fill="auto"/>
            <w:noWrap/>
            <w:hideMark/>
          </w:tcPr>
          <w:p w14:paraId="59782680" w14:textId="77777777" w:rsidR="00B10259" w:rsidRPr="00605672" w:rsidRDefault="008B6131" w:rsidP="004B0C26">
            <w:pPr>
              <w:tabs>
                <w:tab w:val="center" w:pos="4680"/>
                <w:tab w:val="right" w:pos="9360"/>
              </w:tabs>
              <w:spacing w:after="200" w:line="276" w:lineRule="auto"/>
              <w:ind w:firstLine="720"/>
              <w:rPr>
                <w:sz w:val="23"/>
                <w:szCs w:val="23"/>
              </w:rPr>
            </w:pPr>
            <w:r w:rsidRPr="00605672">
              <w:rPr>
                <w:sz w:val="23"/>
                <w:szCs w:val="23"/>
              </w:rPr>
              <w:t>Independent variables</w:t>
            </w:r>
          </w:p>
        </w:tc>
        <w:tc>
          <w:tcPr>
            <w:tcW w:w="2610" w:type="dxa"/>
            <w:gridSpan w:val="2"/>
            <w:tcBorders>
              <w:top w:val="double" w:sz="4" w:space="0" w:color="auto"/>
              <w:bottom w:val="single" w:sz="4" w:space="0" w:color="auto"/>
            </w:tcBorders>
            <w:shd w:val="clear" w:color="auto" w:fill="auto"/>
            <w:noWrap/>
            <w:hideMark/>
          </w:tcPr>
          <w:p w14:paraId="7169F129" w14:textId="3FEAE140" w:rsidR="00B10259" w:rsidRPr="00605672" w:rsidRDefault="00756B07" w:rsidP="00FC679E">
            <w:pPr>
              <w:tabs>
                <w:tab w:val="center" w:pos="4680"/>
                <w:tab w:val="right" w:pos="9360"/>
              </w:tabs>
              <w:spacing w:line="480" w:lineRule="auto"/>
              <w:jc w:val="center"/>
              <w:rPr>
                <w:rFonts w:eastAsia="Times New Roman"/>
                <w:sz w:val="23"/>
                <w:szCs w:val="23"/>
              </w:rPr>
            </w:pPr>
            <w:r w:rsidRPr="00605672">
              <w:rPr>
                <w:rFonts w:eastAsia="Times New Roman"/>
                <w:sz w:val="23"/>
                <w:szCs w:val="23"/>
              </w:rPr>
              <w:t>STCT2</w:t>
            </w:r>
          </w:p>
        </w:tc>
        <w:tc>
          <w:tcPr>
            <w:tcW w:w="2731" w:type="dxa"/>
            <w:gridSpan w:val="2"/>
            <w:tcBorders>
              <w:top w:val="double" w:sz="4" w:space="0" w:color="auto"/>
              <w:bottom w:val="single" w:sz="4" w:space="0" w:color="auto"/>
            </w:tcBorders>
            <w:shd w:val="clear" w:color="auto" w:fill="auto"/>
            <w:noWrap/>
            <w:hideMark/>
          </w:tcPr>
          <w:p w14:paraId="0855AAFB" w14:textId="77777777" w:rsidR="00B10259" w:rsidRPr="00605672" w:rsidRDefault="008B6131" w:rsidP="00FC679E">
            <w:pPr>
              <w:tabs>
                <w:tab w:val="center" w:pos="4680"/>
                <w:tab w:val="right" w:pos="9360"/>
              </w:tabs>
              <w:spacing w:line="480" w:lineRule="auto"/>
              <w:jc w:val="center"/>
              <w:rPr>
                <w:rFonts w:eastAsia="Times New Roman"/>
                <w:sz w:val="23"/>
                <w:szCs w:val="23"/>
              </w:rPr>
            </w:pPr>
            <w:r w:rsidRPr="00605672">
              <w:rPr>
                <w:rFonts w:eastAsia="Times New Roman"/>
                <w:sz w:val="23"/>
                <w:szCs w:val="23"/>
              </w:rPr>
              <w:t>SINVT2</w:t>
            </w:r>
          </w:p>
        </w:tc>
        <w:tc>
          <w:tcPr>
            <w:tcW w:w="1984" w:type="dxa"/>
            <w:gridSpan w:val="2"/>
            <w:tcBorders>
              <w:top w:val="double" w:sz="4" w:space="0" w:color="auto"/>
              <w:bottom w:val="single" w:sz="4" w:space="0" w:color="auto"/>
            </w:tcBorders>
            <w:shd w:val="clear" w:color="auto" w:fill="auto"/>
            <w:noWrap/>
            <w:hideMark/>
          </w:tcPr>
          <w:p w14:paraId="598D270A" w14:textId="77777777" w:rsidR="00B10259" w:rsidRPr="00605672" w:rsidRDefault="008B6131" w:rsidP="00FC679E">
            <w:pPr>
              <w:tabs>
                <w:tab w:val="center" w:pos="4680"/>
                <w:tab w:val="right" w:pos="9360"/>
              </w:tabs>
              <w:spacing w:line="480" w:lineRule="auto"/>
              <w:ind w:firstLine="11"/>
              <w:jc w:val="center"/>
              <w:rPr>
                <w:rFonts w:eastAsia="Times New Roman"/>
                <w:sz w:val="23"/>
                <w:szCs w:val="23"/>
              </w:rPr>
            </w:pPr>
            <w:r w:rsidRPr="00605672">
              <w:rPr>
                <w:rFonts w:eastAsia="Times New Roman"/>
                <w:sz w:val="23"/>
                <w:szCs w:val="23"/>
              </w:rPr>
              <w:t>RINVT2</w:t>
            </w:r>
          </w:p>
        </w:tc>
      </w:tr>
      <w:tr w:rsidR="00B10259" w:rsidRPr="00605672" w14:paraId="31A10A82" w14:textId="77777777" w:rsidTr="00727D37">
        <w:trPr>
          <w:cantSplit/>
          <w:trHeight w:hRule="exact" w:val="567"/>
          <w:jc w:val="center"/>
        </w:trPr>
        <w:tc>
          <w:tcPr>
            <w:tcW w:w="5246" w:type="dxa"/>
            <w:tcBorders>
              <w:bottom w:val="single" w:sz="4" w:space="0" w:color="auto"/>
            </w:tcBorders>
            <w:shd w:val="clear" w:color="auto" w:fill="auto"/>
            <w:noWrap/>
            <w:hideMark/>
          </w:tcPr>
          <w:p w14:paraId="30467AD4" w14:textId="77777777" w:rsidR="00B10259" w:rsidRPr="00605672" w:rsidRDefault="00B10259" w:rsidP="004B0C26">
            <w:pPr>
              <w:rPr>
                <w:rFonts w:eastAsia="Times New Roman"/>
                <w:sz w:val="23"/>
                <w:szCs w:val="23"/>
              </w:rPr>
            </w:pPr>
          </w:p>
        </w:tc>
        <w:tc>
          <w:tcPr>
            <w:tcW w:w="1510" w:type="dxa"/>
            <w:tcBorders>
              <w:top w:val="single" w:sz="4" w:space="0" w:color="auto"/>
              <w:bottom w:val="single" w:sz="4" w:space="0" w:color="auto"/>
            </w:tcBorders>
            <w:shd w:val="clear" w:color="auto" w:fill="auto"/>
            <w:noWrap/>
            <w:hideMark/>
          </w:tcPr>
          <w:p w14:paraId="1AE2D80E" w14:textId="30D03968" w:rsidR="00B10259" w:rsidRPr="00605672" w:rsidRDefault="00B10259" w:rsidP="00FC679E">
            <w:pPr>
              <w:jc w:val="center"/>
              <w:rPr>
                <w:rFonts w:eastAsia="Times New Roman"/>
                <w:sz w:val="23"/>
                <w:szCs w:val="23"/>
              </w:rPr>
            </w:pPr>
            <w:r w:rsidRPr="00605672">
              <w:rPr>
                <w:rFonts w:eastAsia="Times New Roman"/>
                <w:sz w:val="23"/>
                <w:szCs w:val="23"/>
              </w:rPr>
              <w:t>Coef</w:t>
            </w:r>
            <w:r w:rsidR="00FC679E">
              <w:rPr>
                <w:rFonts w:eastAsia="Times New Roman"/>
                <w:sz w:val="23"/>
                <w:szCs w:val="23"/>
              </w:rPr>
              <w:t>ficient</w:t>
            </w:r>
          </w:p>
        </w:tc>
        <w:tc>
          <w:tcPr>
            <w:tcW w:w="1100" w:type="dxa"/>
            <w:tcBorders>
              <w:top w:val="single" w:sz="4" w:space="0" w:color="auto"/>
              <w:bottom w:val="single" w:sz="4" w:space="0" w:color="auto"/>
            </w:tcBorders>
            <w:shd w:val="clear" w:color="auto" w:fill="auto"/>
            <w:noWrap/>
            <w:hideMark/>
          </w:tcPr>
          <w:p w14:paraId="0B875E0A" w14:textId="713868AA" w:rsidR="00B10259" w:rsidRPr="00605672" w:rsidRDefault="00B10259" w:rsidP="00FC679E">
            <w:pPr>
              <w:jc w:val="center"/>
              <w:rPr>
                <w:rFonts w:eastAsia="Times New Roman"/>
                <w:sz w:val="23"/>
                <w:szCs w:val="23"/>
              </w:rPr>
            </w:pPr>
            <w:r w:rsidRPr="00605672">
              <w:rPr>
                <w:rFonts w:eastAsia="Times New Roman"/>
                <w:sz w:val="23"/>
                <w:szCs w:val="23"/>
              </w:rPr>
              <w:t>RSE</w:t>
            </w:r>
          </w:p>
        </w:tc>
        <w:tc>
          <w:tcPr>
            <w:tcW w:w="1597" w:type="dxa"/>
            <w:tcBorders>
              <w:top w:val="single" w:sz="4" w:space="0" w:color="auto"/>
              <w:bottom w:val="single" w:sz="4" w:space="0" w:color="auto"/>
            </w:tcBorders>
            <w:shd w:val="clear" w:color="auto" w:fill="auto"/>
            <w:noWrap/>
            <w:hideMark/>
          </w:tcPr>
          <w:p w14:paraId="632F6E03" w14:textId="1C143932" w:rsidR="00B10259" w:rsidRPr="00605672" w:rsidRDefault="00B10259" w:rsidP="00FC679E">
            <w:pPr>
              <w:jc w:val="center"/>
              <w:rPr>
                <w:rFonts w:eastAsia="Times New Roman"/>
                <w:sz w:val="23"/>
                <w:szCs w:val="23"/>
              </w:rPr>
            </w:pPr>
            <w:r w:rsidRPr="00605672">
              <w:rPr>
                <w:rFonts w:eastAsia="Times New Roman"/>
                <w:sz w:val="23"/>
                <w:szCs w:val="23"/>
              </w:rPr>
              <w:t>Coef</w:t>
            </w:r>
            <w:r w:rsidR="00FC679E">
              <w:rPr>
                <w:rFonts w:eastAsia="Times New Roman"/>
                <w:sz w:val="23"/>
                <w:szCs w:val="23"/>
              </w:rPr>
              <w:t>ficient</w:t>
            </w:r>
          </w:p>
        </w:tc>
        <w:tc>
          <w:tcPr>
            <w:tcW w:w="1134" w:type="dxa"/>
            <w:tcBorders>
              <w:top w:val="single" w:sz="4" w:space="0" w:color="auto"/>
              <w:bottom w:val="single" w:sz="4" w:space="0" w:color="auto"/>
            </w:tcBorders>
            <w:shd w:val="clear" w:color="auto" w:fill="auto"/>
            <w:noWrap/>
            <w:hideMark/>
          </w:tcPr>
          <w:p w14:paraId="2D9C54C3" w14:textId="7688E176" w:rsidR="00B10259" w:rsidRPr="00605672" w:rsidRDefault="00B10259" w:rsidP="00FC679E">
            <w:pPr>
              <w:jc w:val="center"/>
              <w:rPr>
                <w:rFonts w:eastAsia="Times New Roman"/>
                <w:sz w:val="23"/>
                <w:szCs w:val="23"/>
              </w:rPr>
            </w:pPr>
            <w:r w:rsidRPr="00605672">
              <w:rPr>
                <w:rFonts w:eastAsia="Times New Roman"/>
                <w:sz w:val="23"/>
                <w:szCs w:val="23"/>
              </w:rPr>
              <w:t>RSE</w:t>
            </w:r>
          </w:p>
        </w:tc>
        <w:tc>
          <w:tcPr>
            <w:tcW w:w="1289" w:type="dxa"/>
            <w:tcBorders>
              <w:top w:val="single" w:sz="4" w:space="0" w:color="auto"/>
              <w:bottom w:val="single" w:sz="4" w:space="0" w:color="auto"/>
            </w:tcBorders>
            <w:shd w:val="clear" w:color="auto" w:fill="auto"/>
            <w:noWrap/>
            <w:hideMark/>
          </w:tcPr>
          <w:p w14:paraId="616C975A" w14:textId="7C3E54D7" w:rsidR="00B10259" w:rsidRPr="00605672" w:rsidRDefault="00B10259" w:rsidP="00FC679E">
            <w:pPr>
              <w:jc w:val="center"/>
              <w:rPr>
                <w:rFonts w:eastAsia="Times New Roman"/>
                <w:sz w:val="23"/>
                <w:szCs w:val="23"/>
              </w:rPr>
            </w:pPr>
            <w:r w:rsidRPr="00605672">
              <w:rPr>
                <w:rFonts w:eastAsia="Times New Roman"/>
                <w:sz w:val="23"/>
                <w:szCs w:val="23"/>
              </w:rPr>
              <w:t>Coef</w:t>
            </w:r>
            <w:r w:rsidR="00FC679E">
              <w:rPr>
                <w:rFonts w:eastAsia="Times New Roman"/>
                <w:sz w:val="23"/>
                <w:szCs w:val="23"/>
              </w:rPr>
              <w:t>ficient</w:t>
            </w:r>
          </w:p>
        </w:tc>
        <w:tc>
          <w:tcPr>
            <w:tcW w:w="695" w:type="dxa"/>
            <w:tcBorders>
              <w:top w:val="single" w:sz="4" w:space="0" w:color="auto"/>
              <w:bottom w:val="single" w:sz="4" w:space="0" w:color="auto"/>
            </w:tcBorders>
            <w:shd w:val="clear" w:color="auto" w:fill="auto"/>
            <w:noWrap/>
            <w:hideMark/>
          </w:tcPr>
          <w:p w14:paraId="1DF741B9" w14:textId="628992EE" w:rsidR="00B10259" w:rsidRPr="00605672" w:rsidRDefault="00B10259" w:rsidP="00FC679E">
            <w:pPr>
              <w:jc w:val="center"/>
              <w:rPr>
                <w:rFonts w:eastAsia="Times New Roman"/>
                <w:sz w:val="23"/>
                <w:szCs w:val="23"/>
              </w:rPr>
            </w:pPr>
            <w:r w:rsidRPr="00605672">
              <w:rPr>
                <w:rFonts w:eastAsia="Times New Roman"/>
                <w:sz w:val="23"/>
                <w:szCs w:val="23"/>
              </w:rPr>
              <w:t>RSE</w:t>
            </w:r>
          </w:p>
        </w:tc>
      </w:tr>
      <w:tr w:rsidR="00B10259" w:rsidRPr="00605672" w14:paraId="25EB03AB" w14:textId="77777777" w:rsidTr="00727D37">
        <w:trPr>
          <w:cantSplit/>
          <w:trHeight w:hRule="exact" w:val="284"/>
          <w:jc w:val="center"/>
        </w:trPr>
        <w:tc>
          <w:tcPr>
            <w:tcW w:w="5246" w:type="dxa"/>
            <w:tcBorders>
              <w:top w:val="single" w:sz="4" w:space="0" w:color="auto"/>
            </w:tcBorders>
            <w:shd w:val="clear" w:color="auto" w:fill="auto"/>
            <w:noWrap/>
          </w:tcPr>
          <w:p w14:paraId="0A1CEED4" w14:textId="77777777" w:rsidR="00B10259" w:rsidRPr="00605672" w:rsidRDefault="00B10259" w:rsidP="002E6B3C">
            <w:pPr>
              <w:rPr>
                <w:rFonts w:eastAsia="Times New Roman"/>
                <w:sz w:val="23"/>
                <w:szCs w:val="23"/>
              </w:rPr>
            </w:pPr>
            <w:r w:rsidRPr="00605672">
              <w:rPr>
                <w:rFonts w:eastAsia="Times New Roman"/>
                <w:sz w:val="23"/>
                <w:szCs w:val="23"/>
              </w:rPr>
              <w:t>Supp</w:t>
            </w:r>
            <w:r w:rsidR="002E6B3C" w:rsidRPr="00605672">
              <w:rPr>
                <w:rFonts w:eastAsia="Times New Roman"/>
                <w:sz w:val="23"/>
                <w:szCs w:val="23"/>
              </w:rPr>
              <w:t>lier</w:t>
            </w:r>
            <w:r w:rsidRPr="00605672">
              <w:rPr>
                <w:rFonts w:eastAsia="Times New Roman"/>
                <w:sz w:val="23"/>
                <w:szCs w:val="23"/>
              </w:rPr>
              <w:t xml:space="preserve"> increm</w:t>
            </w:r>
            <w:r w:rsidR="002E6B3C" w:rsidRPr="00605672">
              <w:rPr>
                <w:rFonts w:eastAsia="Times New Roman"/>
                <w:sz w:val="23"/>
                <w:szCs w:val="23"/>
              </w:rPr>
              <w:t>ental</w:t>
            </w:r>
            <w:r w:rsidRPr="00605672">
              <w:rPr>
                <w:rFonts w:eastAsia="Times New Roman"/>
                <w:sz w:val="23"/>
                <w:szCs w:val="23"/>
              </w:rPr>
              <w:t xml:space="preserve"> inv</w:t>
            </w:r>
            <w:r w:rsidR="002E6B3C" w:rsidRPr="00605672">
              <w:rPr>
                <w:rFonts w:eastAsia="Times New Roman"/>
                <w:sz w:val="23"/>
                <w:szCs w:val="23"/>
              </w:rPr>
              <w:t xml:space="preserve">estment </w:t>
            </w:r>
            <w:r w:rsidRPr="00605672">
              <w:rPr>
                <w:rFonts w:eastAsia="Times New Roman"/>
                <w:sz w:val="23"/>
                <w:szCs w:val="23"/>
              </w:rPr>
              <w:t>t2, SINVT2</w:t>
            </w:r>
          </w:p>
        </w:tc>
        <w:tc>
          <w:tcPr>
            <w:tcW w:w="1510" w:type="dxa"/>
            <w:tcBorders>
              <w:top w:val="single" w:sz="4" w:space="0" w:color="auto"/>
            </w:tcBorders>
            <w:shd w:val="clear" w:color="auto" w:fill="auto"/>
            <w:noWrap/>
          </w:tcPr>
          <w:p w14:paraId="1302E714" w14:textId="77777777" w:rsidR="00B10259" w:rsidRPr="00605672" w:rsidRDefault="00B10259" w:rsidP="004B0C26">
            <w:pPr>
              <w:jc w:val="right"/>
              <w:rPr>
                <w:rFonts w:eastAsia="Times New Roman"/>
                <w:sz w:val="23"/>
                <w:szCs w:val="23"/>
              </w:rPr>
            </w:pPr>
            <w:r w:rsidRPr="00605672">
              <w:rPr>
                <w:rFonts w:eastAsia="Times New Roman"/>
                <w:sz w:val="23"/>
                <w:szCs w:val="23"/>
              </w:rPr>
              <w:t>.87</w:t>
            </w:r>
          </w:p>
        </w:tc>
        <w:tc>
          <w:tcPr>
            <w:tcW w:w="1100" w:type="dxa"/>
            <w:tcBorders>
              <w:top w:val="single" w:sz="4" w:space="0" w:color="auto"/>
            </w:tcBorders>
            <w:shd w:val="clear" w:color="auto" w:fill="auto"/>
            <w:noWrap/>
          </w:tcPr>
          <w:p w14:paraId="7167963F" w14:textId="77777777" w:rsidR="00B10259" w:rsidRPr="00605672" w:rsidRDefault="00B10259" w:rsidP="004B0C26">
            <w:pPr>
              <w:rPr>
                <w:rFonts w:eastAsia="Times New Roman"/>
                <w:sz w:val="23"/>
                <w:szCs w:val="23"/>
              </w:rPr>
            </w:pPr>
            <w:r w:rsidRPr="00605672">
              <w:rPr>
                <w:rFonts w:eastAsia="Times New Roman"/>
                <w:sz w:val="23"/>
                <w:szCs w:val="23"/>
              </w:rPr>
              <w:t>(.52)*</w:t>
            </w:r>
          </w:p>
        </w:tc>
        <w:tc>
          <w:tcPr>
            <w:tcW w:w="1597" w:type="dxa"/>
            <w:tcBorders>
              <w:top w:val="single" w:sz="4" w:space="0" w:color="auto"/>
            </w:tcBorders>
            <w:shd w:val="clear" w:color="auto" w:fill="auto"/>
            <w:noWrap/>
          </w:tcPr>
          <w:p w14:paraId="2DFBE0A1" w14:textId="77777777" w:rsidR="00B10259" w:rsidRPr="00605672" w:rsidRDefault="00B10259" w:rsidP="004B0C26">
            <w:pPr>
              <w:rPr>
                <w:rFonts w:eastAsia="Times New Roman"/>
                <w:sz w:val="23"/>
                <w:szCs w:val="23"/>
              </w:rPr>
            </w:pPr>
          </w:p>
        </w:tc>
        <w:tc>
          <w:tcPr>
            <w:tcW w:w="1134" w:type="dxa"/>
            <w:tcBorders>
              <w:top w:val="single" w:sz="4" w:space="0" w:color="auto"/>
            </w:tcBorders>
            <w:shd w:val="clear" w:color="auto" w:fill="auto"/>
            <w:noWrap/>
          </w:tcPr>
          <w:p w14:paraId="32E55023" w14:textId="77777777" w:rsidR="00B10259" w:rsidRPr="00605672" w:rsidRDefault="00B10259" w:rsidP="004B0C26">
            <w:pPr>
              <w:rPr>
                <w:rFonts w:eastAsia="Times New Roman"/>
                <w:sz w:val="23"/>
                <w:szCs w:val="23"/>
              </w:rPr>
            </w:pPr>
          </w:p>
        </w:tc>
        <w:tc>
          <w:tcPr>
            <w:tcW w:w="1289" w:type="dxa"/>
            <w:tcBorders>
              <w:top w:val="single" w:sz="4" w:space="0" w:color="auto"/>
            </w:tcBorders>
            <w:shd w:val="clear" w:color="auto" w:fill="auto"/>
            <w:noWrap/>
          </w:tcPr>
          <w:p w14:paraId="22402BC7" w14:textId="77777777" w:rsidR="00B10259" w:rsidRPr="00605672" w:rsidRDefault="00B10259" w:rsidP="004B0C26">
            <w:pPr>
              <w:jc w:val="right"/>
              <w:rPr>
                <w:rFonts w:eastAsia="Times New Roman"/>
                <w:sz w:val="23"/>
                <w:szCs w:val="23"/>
              </w:rPr>
            </w:pPr>
          </w:p>
        </w:tc>
        <w:tc>
          <w:tcPr>
            <w:tcW w:w="695" w:type="dxa"/>
            <w:tcBorders>
              <w:top w:val="single" w:sz="4" w:space="0" w:color="auto"/>
            </w:tcBorders>
            <w:shd w:val="clear" w:color="auto" w:fill="auto"/>
            <w:noWrap/>
          </w:tcPr>
          <w:p w14:paraId="12DC3BB3" w14:textId="77777777" w:rsidR="00B10259" w:rsidRPr="00605672" w:rsidRDefault="00B10259" w:rsidP="004B0C26">
            <w:pPr>
              <w:rPr>
                <w:rFonts w:eastAsia="Times New Roman"/>
                <w:sz w:val="23"/>
                <w:szCs w:val="23"/>
              </w:rPr>
            </w:pPr>
          </w:p>
        </w:tc>
      </w:tr>
      <w:tr w:rsidR="0057214E" w:rsidRPr="00605672" w14:paraId="7B62AA6A" w14:textId="77777777" w:rsidTr="00727D37">
        <w:trPr>
          <w:cantSplit/>
          <w:trHeight w:hRule="exact" w:val="284"/>
          <w:jc w:val="center"/>
        </w:trPr>
        <w:tc>
          <w:tcPr>
            <w:tcW w:w="5246" w:type="dxa"/>
            <w:shd w:val="clear" w:color="auto" w:fill="auto"/>
            <w:noWrap/>
          </w:tcPr>
          <w:p w14:paraId="43F86F18" w14:textId="77777777" w:rsidR="0057214E" w:rsidRPr="00605672" w:rsidRDefault="0057214E" w:rsidP="001A7543">
            <w:pPr>
              <w:rPr>
                <w:rFonts w:eastAsia="Times New Roman"/>
                <w:sz w:val="23"/>
                <w:szCs w:val="23"/>
              </w:rPr>
            </w:pPr>
            <w:r w:rsidRPr="00605672">
              <w:rPr>
                <w:rFonts w:eastAsia="Times New Roman"/>
                <w:sz w:val="23"/>
                <w:szCs w:val="23"/>
              </w:rPr>
              <w:t>Reseller selection efforts t1, SSELT1</w:t>
            </w:r>
          </w:p>
        </w:tc>
        <w:tc>
          <w:tcPr>
            <w:tcW w:w="1510" w:type="dxa"/>
            <w:shd w:val="clear" w:color="auto" w:fill="auto"/>
            <w:noWrap/>
          </w:tcPr>
          <w:p w14:paraId="2CCAB97F" w14:textId="77777777" w:rsidR="0057214E" w:rsidRPr="00605672" w:rsidRDefault="0057214E" w:rsidP="001A7543">
            <w:pPr>
              <w:jc w:val="right"/>
              <w:rPr>
                <w:rFonts w:eastAsia="Times New Roman"/>
                <w:sz w:val="23"/>
                <w:szCs w:val="23"/>
              </w:rPr>
            </w:pPr>
            <w:r w:rsidRPr="00605672">
              <w:rPr>
                <w:rFonts w:eastAsia="Times New Roman"/>
                <w:sz w:val="23"/>
                <w:szCs w:val="23"/>
              </w:rPr>
              <w:t>-.23</w:t>
            </w:r>
          </w:p>
        </w:tc>
        <w:tc>
          <w:tcPr>
            <w:tcW w:w="1100" w:type="dxa"/>
            <w:shd w:val="clear" w:color="auto" w:fill="auto"/>
            <w:noWrap/>
          </w:tcPr>
          <w:p w14:paraId="783B0570" w14:textId="77777777" w:rsidR="0057214E" w:rsidRPr="00605672" w:rsidRDefault="0057214E" w:rsidP="001A7543">
            <w:pPr>
              <w:rPr>
                <w:rFonts w:eastAsia="Times New Roman"/>
                <w:sz w:val="23"/>
                <w:szCs w:val="23"/>
              </w:rPr>
            </w:pPr>
            <w:r w:rsidRPr="00605672">
              <w:rPr>
                <w:rFonts w:eastAsia="Times New Roman"/>
                <w:sz w:val="23"/>
                <w:szCs w:val="23"/>
              </w:rPr>
              <w:t>(.11)**</w:t>
            </w:r>
          </w:p>
        </w:tc>
        <w:tc>
          <w:tcPr>
            <w:tcW w:w="1597" w:type="dxa"/>
            <w:shd w:val="clear" w:color="auto" w:fill="auto"/>
            <w:noWrap/>
          </w:tcPr>
          <w:p w14:paraId="0B4CA4C2" w14:textId="77777777" w:rsidR="0057214E" w:rsidRPr="00605672" w:rsidRDefault="0057214E" w:rsidP="001A7543">
            <w:pPr>
              <w:jc w:val="right"/>
              <w:rPr>
                <w:rFonts w:eastAsia="Times New Roman"/>
                <w:sz w:val="23"/>
                <w:szCs w:val="23"/>
              </w:rPr>
            </w:pPr>
            <w:r w:rsidRPr="00605672">
              <w:rPr>
                <w:rFonts w:eastAsia="Times New Roman"/>
                <w:sz w:val="23"/>
                <w:szCs w:val="23"/>
              </w:rPr>
              <w:t xml:space="preserve"> H1(+)</w:t>
            </w:r>
            <w:r w:rsidR="00605672" w:rsidRPr="00605672">
              <w:rPr>
                <w:rFonts w:eastAsia="Times New Roman"/>
                <w:sz w:val="23"/>
                <w:szCs w:val="23"/>
              </w:rPr>
              <w:t xml:space="preserve"> </w:t>
            </w:r>
            <w:r w:rsidRPr="00605672">
              <w:rPr>
                <w:rFonts w:eastAsia="Times New Roman"/>
                <w:sz w:val="23"/>
                <w:szCs w:val="23"/>
              </w:rPr>
              <w:t>.16</w:t>
            </w:r>
          </w:p>
        </w:tc>
        <w:tc>
          <w:tcPr>
            <w:tcW w:w="1134" w:type="dxa"/>
            <w:shd w:val="clear" w:color="auto" w:fill="auto"/>
            <w:noWrap/>
          </w:tcPr>
          <w:p w14:paraId="16595EC0" w14:textId="77777777" w:rsidR="0057214E" w:rsidRPr="00605672" w:rsidRDefault="0057214E" w:rsidP="001A7543">
            <w:pPr>
              <w:rPr>
                <w:rFonts w:eastAsia="Times New Roman"/>
                <w:sz w:val="23"/>
                <w:szCs w:val="23"/>
              </w:rPr>
            </w:pPr>
            <w:r w:rsidRPr="00605672">
              <w:rPr>
                <w:rFonts w:eastAsia="Times New Roman"/>
                <w:sz w:val="23"/>
                <w:szCs w:val="23"/>
              </w:rPr>
              <w:t>(.04)***</w:t>
            </w:r>
          </w:p>
        </w:tc>
        <w:tc>
          <w:tcPr>
            <w:tcW w:w="1289" w:type="dxa"/>
            <w:shd w:val="clear" w:color="auto" w:fill="auto"/>
            <w:noWrap/>
          </w:tcPr>
          <w:p w14:paraId="7D94AF08" w14:textId="77777777" w:rsidR="0057214E" w:rsidRPr="00605672" w:rsidRDefault="0057214E" w:rsidP="001A7543">
            <w:pPr>
              <w:jc w:val="right"/>
              <w:rPr>
                <w:rFonts w:eastAsia="Times New Roman"/>
                <w:sz w:val="23"/>
                <w:szCs w:val="23"/>
              </w:rPr>
            </w:pPr>
            <w:r w:rsidRPr="00605672">
              <w:rPr>
                <w:rFonts w:eastAsia="Times New Roman"/>
                <w:sz w:val="23"/>
                <w:szCs w:val="23"/>
              </w:rPr>
              <w:t>.22</w:t>
            </w:r>
          </w:p>
        </w:tc>
        <w:tc>
          <w:tcPr>
            <w:tcW w:w="695" w:type="dxa"/>
            <w:shd w:val="clear" w:color="auto" w:fill="auto"/>
            <w:noWrap/>
            <w:vAlign w:val="bottom"/>
          </w:tcPr>
          <w:p w14:paraId="4C0BCA74" w14:textId="77777777" w:rsidR="0057214E" w:rsidRPr="00605672" w:rsidRDefault="0057214E" w:rsidP="001A7543">
            <w:pPr>
              <w:rPr>
                <w:rFonts w:eastAsia="Times New Roman"/>
                <w:sz w:val="23"/>
                <w:szCs w:val="23"/>
              </w:rPr>
            </w:pPr>
            <w:r w:rsidRPr="00605672">
              <w:rPr>
                <w:rFonts w:eastAsia="Times New Roman"/>
                <w:sz w:val="23"/>
                <w:szCs w:val="23"/>
              </w:rPr>
              <w:t>(.06)***</w:t>
            </w:r>
          </w:p>
        </w:tc>
      </w:tr>
      <w:tr w:rsidR="00B10259" w:rsidRPr="00605672" w14:paraId="59DBE9B8" w14:textId="77777777" w:rsidTr="00727D37">
        <w:trPr>
          <w:cantSplit/>
          <w:trHeight w:hRule="exact" w:val="284"/>
          <w:jc w:val="center"/>
        </w:trPr>
        <w:tc>
          <w:tcPr>
            <w:tcW w:w="5246" w:type="dxa"/>
            <w:shd w:val="clear" w:color="auto" w:fill="auto"/>
            <w:noWrap/>
          </w:tcPr>
          <w:p w14:paraId="1330A264" w14:textId="77777777" w:rsidR="00B10259" w:rsidRPr="00605672" w:rsidRDefault="002E6B3C" w:rsidP="00935E82">
            <w:pPr>
              <w:rPr>
                <w:rFonts w:eastAsia="Times New Roman"/>
                <w:sz w:val="23"/>
                <w:szCs w:val="23"/>
              </w:rPr>
            </w:pPr>
            <w:r w:rsidRPr="00605672">
              <w:rPr>
                <w:rFonts w:eastAsia="Times New Roman"/>
                <w:sz w:val="23"/>
                <w:szCs w:val="23"/>
              </w:rPr>
              <w:t xml:space="preserve">Mutual </w:t>
            </w:r>
            <w:r w:rsidR="00935E82" w:rsidRPr="00605672">
              <w:rPr>
                <w:rFonts w:eastAsia="Times New Roman"/>
                <w:sz w:val="23"/>
                <w:szCs w:val="23"/>
              </w:rPr>
              <w:t>a</w:t>
            </w:r>
            <w:r w:rsidRPr="00605672">
              <w:rPr>
                <w:rFonts w:eastAsia="Times New Roman"/>
                <w:sz w:val="23"/>
                <w:szCs w:val="23"/>
              </w:rPr>
              <w:t xml:space="preserve">symmetric </w:t>
            </w:r>
            <w:r w:rsidR="00B10259" w:rsidRPr="00605672">
              <w:rPr>
                <w:rFonts w:eastAsia="Times New Roman"/>
                <w:sz w:val="23"/>
                <w:szCs w:val="23"/>
              </w:rPr>
              <w:t>inv</w:t>
            </w:r>
            <w:r w:rsidRPr="00605672">
              <w:rPr>
                <w:rFonts w:eastAsia="Times New Roman"/>
                <w:sz w:val="23"/>
                <w:szCs w:val="23"/>
              </w:rPr>
              <w:t>estment</w:t>
            </w:r>
            <w:r w:rsidR="00B10259" w:rsidRPr="00605672">
              <w:rPr>
                <w:rFonts w:eastAsia="Times New Roman"/>
                <w:sz w:val="23"/>
                <w:szCs w:val="23"/>
              </w:rPr>
              <w:t xml:space="preserve"> t1, INVDIFF</w:t>
            </w:r>
          </w:p>
        </w:tc>
        <w:tc>
          <w:tcPr>
            <w:tcW w:w="1510" w:type="dxa"/>
            <w:shd w:val="clear" w:color="auto" w:fill="auto"/>
            <w:noWrap/>
          </w:tcPr>
          <w:p w14:paraId="4BD28FCC" w14:textId="77777777" w:rsidR="00B10259" w:rsidRPr="00605672" w:rsidRDefault="00B10259" w:rsidP="004B0C26">
            <w:pPr>
              <w:jc w:val="right"/>
              <w:rPr>
                <w:rFonts w:eastAsia="Times New Roman"/>
                <w:sz w:val="23"/>
                <w:szCs w:val="23"/>
              </w:rPr>
            </w:pPr>
            <w:r w:rsidRPr="00605672">
              <w:rPr>
                <w:rFonts w:eastAsia="Times New Roman"/>
                <w:sz w:val="23"/>
                <w:szCs w:val="23"/>
              </w:rPr>
              <w:t>-.63</w:t>
            </w:r>
          </w:p>
        </w:tc>
        <w:tc>
          <w:tcPr>
            <w:tcW w:w="1100" w:type="dxa"/>
            <w:shd w:val="clear" w:color="auto" w:fill="auto"/>
            <w:noWrap/>
          </w:tcPr>
          <w:p w14:paraId="67E36B29" w14:textId="77777777" w:rsidR="00B10259" w:rsidRPr="00605672" w:rsidRDefault="00B10259" w:rsidP="004B0C26">
            <w:pPr>
              <w:rPr>
                <w:rFonts w:eastAsia="Times New Roman"/>
                <w:sz w:val="23"/>
                <w:szCs w:val="23"/>
              </w:rPr>
            </w:pPr>
            <w:r w:rsidRPr="00605672">
              <w:rPr>
                <w:rFonts w:eastAsia="Times New Roman"/>
                <w:sz w:val="23"/>
                <w:szCs w:val="23"/>
              </w:rPr>
              <w:t>(.56)</w:t>
            </w:r>
          </w:p>
        </w:tc>
        <w:tc>
          <w:tcPr>
            <w:tcW w:w="1597" w:type="dxa"/>
            <w:shd w:val="clear" w:color="auto" w:fill="auto"/>
            <w:noWrap/>
          </w:tcPr>
          <w:p w14:paraId="1A92ECDF" w14:textId="77777777" w:rsidR="00B10259" w:rsidRPr="00605672" w:rsidRDefault="00B10259" w:rsidP="00935E82">
            <w:pPr>
              <w:jc w:val="right"/>
              <w:rPr>
                <w:rFonts w:eastAsia="Times New Roman"/>
                <w:sz w:val="23"/>
                <w:szCs w:val="23"/>
              </w:rPr>
            </w:pPr>
            <w:r w:rsidRPr="00605672">
              <w:rPr>
                <w:rFonts w:eastAsia="Times New Roman"/>
                <w:sz w:val="23"/>
                <w:szCs w:val="23"/>
              </w:rPr>
              <w:t>H2(+)</w:t>
            </w:r>
            <w:r w:rsidR="00605672" w:rsidRPr="00605672">
              <w:rPr>
                <w:rFonts w:eastAsia="Times New Roman"/>
                <w:sz w:val="23"/>
                <w:szCs w:val="23"/>
              </w:rPr>
              <w:t xml:space="preserve"> </w:t>
            </w:r>
            <w:r w:rsidRPr="00605672">
              <w:rPr>
                <w:rFonts w:eastAsia="Times New Roman"/>
                <w:sz w:val="23"/>
                <w:szCs w:val="23"/>
              </w:rPr>
              <w:t>.54</w:t>
            </w:r>
          </w:p>
        </w:tc>
        <w:tc>
          <w:tcPr>
            <w:tcW w:w="1134" w:type="dxa"/>
            <w:shd w:val="clear" w:color="auto" w:fill="auto"/>
            <w:noWrap/>
          </w:tcPr>
          <w:p w14:paraId="1195ECD9" w14:textId="77777777" w:rsidR="00B10259" w:rsidRPr="00605672" w:rsidRDefault="00B10259" w:rsidP="004B0C26">
            <w:pPr>
              <w:rPr>
                <w:rFonts w:eastAsia="Times New Roman"/>
                <w:sz w:val="23"/>
                <w:szCs w:val="23"/>
              </w:rPr>
            </w:pPr>
            <w:r w:rsidRPr="00605672">
              <w:rPr>
                <w:rFonts w:eastAsia="Times New Roman"/>
                <w:sz w:val="23"/>
                <w:szCs w:val="23"/>
              </w:rPr>
              <w:t>(.17)***</w:t>
            </w:r>
          </w:p>
        </w:tc>
        <w:tc>
          <w:tcPr>
            <w:tcW w:w="1289" w:type="dxa"/>
            <w:shd w:val="clear" w:color="auto" w:fill="auto"/>
            <w:noWrap/>
          </w:tcPr>
          <w:p w14:paraId="3FABFF66" w14:textId="77777777" w:rsidR="00B10259" w:rsidRPr="00605672" w:rsidRDefault="00B10259" w:rsidP="004B0C26">
            <w:pPr>
              <w:jc w:val="right"/>
              <w:rPr>
                <w:rFonts w:eastAsia="Times New Roman"/>
                <w:sz w:val="23"/>
                <w:szCs w:val="23"/>
              </w:rPr>
            </w:pPr>
            <w:r w:rsidRPr="00605672">
              <w:rPr>
                <w:rFonts w:eastAsia="Times New Roman"/>
                <w:sz w:val="23"/>
                <w:szCs w:val="23"/>
              </w:rPr>
              <w:t>1.54</w:t>
            </w:r>
          </w:p>
        </w:tc>
        <w:tc>
          <w:tcPr>
            <w:tcW w:w="695" w:type="dxa"/>
            <w:shd w:val="clear" w:color="auto" w:fill="auto"/>
            <w:noWrap/>
            <w:vAlign w:val="bottom"/>
          </w:tcPr>
          <w:p w14:paraId="4471B93B" w14:textId="77777777" w:rsidR="00B10259" w:rsidRPr="00605672" w:rsidRDefault="00B10259" w:rsidP="004B0C26">
            <w:pPr>
              <w:rPr>
                <w:rFonts w:eastAsia="Times New Roman"/>
                <w:sz w:val="23"/>
                <w:szCs w:val="23"/>
              </w:rPr>
            </w:pPr>
            <w:r w:rsidRPr="00605672">
              <w:rPr>
                <w:rFonts w:eastAsia="Times New Roman"/>
                <w:sz w:val="23"/>
                <w:szCs w:val="23"/>
              </w:rPr>
              <w:t>(.26)***</w:t>
            </w:r>
          </w:p>
        </w:tc>
      </w:tr>
      <w:tr w:rsidR="00B10259" w:rsidRPr="00605672" w14:paraId="64A8F125" w14:textId="77777777" w:rsidTr="00727D37">
        <w:trPr>
          <w:cantSplit/>
          <w:trHeight w:hRule="exact" w:val="306"/>
          <w:jc w:val="center"/>
        </w:trPr>
        <w:tc>
          <w:tcPr>
            <w:tcW w:w="5246" w:type="dxa"/>
            <w:shd w:val="clear" w:color="auto" w:fill="auto"/>
            <w:noWrap/>
            <w:hideMark/>
          </w:tcPr>
          <w:p w14:paraId="64A21727" w14:textId="77777777" w:rsidR="00B10259" w:rsidRPr="00605672" w:rsidRDefault="00B10259" w:rsidP="00BC4657">
            <w:pPr>
              <w:rPr>
                <w:rFonts w:eastAsia="Times New Roman"/>
                <w:sz w:val="23"/>
                <w:szCs w:val="23"/>
              </w:rPr>
            </w:pPr>
            <w:r w:rsidRPr="00605672">
              <w:rPr>
                <w:rFonts w:eastAsia="Times New Roman"/>
                <w:sz w:val="23"/>
                <w:szCs w:val="23"/>
              </w:rPr>
              <w:t>SINVT2*</w:t>
            </w:r>
            <w:r w:rsidR="003B7993" w:rsidRPr="00605672">
              <w:rPr>
                <w:rFonts w:eastAsia="Times New Roman"/>
                <w:sz w:val="23"/>
                <w:szCs w:val="23"/>
              </w:rPr>
              <w:t>SSEL</w:t>
            </w:r>
            <w:r w:rsidRPr="00605672">
              <w:rPr>
                <w:rFonts w:eastAsia="Times New Roman"/>
                <w:sz w:val="23"/>
                <w:szCs w:val="23"/>
              </w:rPr>
              <w:t xml:space="preserve">T1 </w:t>
            </w:r>
          </w:p>
        </w:tc>
        <w:tc>
          <w:tcPr>
            <w:tcW w:w="1510" w:type="dxa"/>
            <w:shd w:val="clear" w:color="auto" w:fill="auto"/>
            <w:noWrap/>
          </w:tcPr>
          <w:p w14:paraId="395F0ECE" w14:textId="77777777" w:rsidR="00B10259" w:rsidRPr="00605672" w:rsidRDefault="00605672" w:rsidP="00935E82">
            <w:pPr>
              <w:jc w:val="right"/>
              <w:rPr>
                <w:rFonts w:eastAsia="Times New Roman"/>
                <w:sz w:val="23"/>
                <w:szCs w:val="23"/>
              </w:rPr>
            </w:pPr>
            <w:r w:rsidRPr="00605672">
              <w:rPr>
                <w:rFonts w:eastAsia="Times New Roman"/>
                <w:sz w:val="23"/>
                <w:szCs w:val="23"/>
              </w:rPr>
              <w:t xml:space="preserve"> </w:t>
            </w:r>
            <w:r w:rsidR="00B10259" w:rsidRPr="00605672">
              <w:rPr>
                <w:rFonts w:eastAsia="Times New Roman"/>
                <w:sz w:val="23"/>
                <w:szCs w:val="23"/>
              </w:rPr>
              <w:t>H3a(-) -.10</w:t>
            </w:r>
          </w:p>
        </w:tc>
        <w:tc>
          <w:tcPr>
            <w:tcW w:w="1100" w:type="dxa"/>
            <w:shd w:val="clear" w:color="auto" w:fill="auto"/>
            <w:noWrap/>
          </w:tcPr>
          <w:p w14:paraId="0EC7D44C" w14:textId="77777777" w:rsidR="00B10259" w:rsidRPr="00605672" w:rsidRDefault="00B10259" w:rsidP="004B0C26">
            <w:pPr>
              <w:rPr>
                <w:rFonts w:eastAsia="Times New Roman"/>
                <w:sz w:val="23"/>
                <w:szCs w:val="23"/>
              </w:rPr>
            </w:pPr>
            <w:r w:rsidRPr="00605672">
              <w:rPr>
                <w:rFonts w:eastAsia="Times New Roman"/>
                <w:sz w:val="23"/>
                <w:szCs w:val="23"/>
              </w:rPr>
              <w:t>(.05)**</w:t>
            </w:r>
          </w:p>
        </w:tc>
        <w:tc>
          <w:tcPr>
            <w:tcW w:w="1597" w:type="dxa"/>
            <w:shd w:val="clear" w:color="auto" w:fill="auto"/>
            <w:noWrap/>
          </w:tcPr>
          <w:p w14:paraId="23282AD2" w14:textId="77777777" w:rsidR="00B10259" w:rsidRPr="00605672" w:rsidRDefault="00B10259" w:rsidP="004B0C26">
            <w:pPr>
              <w:jc w:val="right"/>
              <w:rPr>
                <w:rFonts w:eastAsia="Times New Roman"/>
                <w:sz w:val="23"/>
                <w:szCs w:val="23"/>
              </w:rPr>
            </w:pPr>
          </w:p>
        </w:tc>
        <w:tc>
          <w:tcPr>
            <w:tcW w:w="1134" w:type="dxa"/>
            <w:shd w:val="clear" w:color="auto" w:fill="auto"/>
            <w:noWrap/>
          </w:tcPr>
          <w:p w14:paraId="56FF9181" w14:textId="77777777" w:rsidR="00B10259" w:rsidRPr="00605672" w:rsidRDefault="00B10259" w:rsidP="004B0C26">
            <w:pPr>
              <w:rPr>
                <w:rFonts w:eastAsia="Times New Roman"/>
                <w:sz w:val="23"/>
                <w:szCs w:val="23"/>
              </w:rPr>
            </w:pPr>
          </w:p>
        </w:tc>
        <w:tc>
          <w:tcPr>
            <w:tcW w:w="1289" w:type="dxa"/>
            <w:shd w:val="clear" w:color="auto" w:fill="auto"/>
            <w:noWrap/>
          </w:tcPr>
          <w:p w14:paraId="257DEC30" w14:textId="77777777" w:rsidR="00B10259" w:rsidRPr="00605672" w:rsidRDefault="00B10259" w:rsidP="004B0C26">
            <w:pPr>
              <w:jc w:val="right"/>
              <w:rPr>
                <w:rFonts w:eastAsia="Times New Roman"/>
                <w:sz w:val="23"/>
                <w:szCs w:val="23"/>
              </w:rPr>
            </w:pPr>
          </w:p>
        </w:tc>
        <w:tc>
          <w:tcPr>
            <w:tcW w:w="695" w:type="dxa"/>
            <w:shd w:val="clear" w:color="auto" w:fill="auto"/>
            <w:noWrap/>
            <w:vAlign w:val="bottom"/>
          </w:tcPr>
          <w:p w14:paraId="6ADABD9C" w14:textId="77777777" w:rsidR="00B10259" w:rsidRPr="00605672" w:rsidRDefault="00B10259" w:rsidP="004B0C26">
            <w:pPr>
              <w:rPr>
                <w:rFonts w:eastAsia="Times New Roman"/>
                <w:sz w:val="23"/>
                <w:szCs w:val="23"/>
              </w:rPr>
            </w:pPr>
          </w:p>
        </w:tc>
      </w:tr>
      <w:tr w:rsidR="00B10259" w:rsidRPr="00605672" w14:paraId="3D27B7B3" w14:textId="77777777" w:rsidTr="00727D37">
        <w:trPr>
          <w:cantSplit/>
          <w:trHeight w:hRule="exact" w:val="284"/>
          <w:jc w:val="center"/>
        </w:trPr>
        <w:tc>
          <w:tcPr>
            <w:tcW w:w="5246" w:type="dxa"/>
            <w:shd w:val="clear" w:color="auto" w:fill="auto"/>
            <w:noWrap/>
            <w:hideMark/>
          </w:tcPr>
          <w:p w14:paraId="403812CD" w14:textId="77777777" w:rsidR="00B10259" w:rsidRPr="00605672" w:rsidRDefault="003B7993" w:rsidP="004B0C26">
            <w:pPr>
              <w:rPr>
                <w:rFonts w:eastAsia="Times New Roman"/>
                <w:sz w:val="23"/>
                <w:szCs w:val="23"/>
              </w:rPr>
            </w:pPr>
            <w:r w:rsidRPr="00605672">
              <w:rPr>
                <w:rFonts w:eastAsia="Times New Roman"/>
                <w:sz w:val="23"/>
                <w:szCs w:val="23"/>
              </w:rPr>
              <w:t>SSEL</w:t>
            </w:r>
            <w:r w:rsidR="00B10259" w:rsidRPr="00605672">
              <w:rPr>
                <w:rFonts w:eastAsia="Times New Roman"/>
                <w:sz w:val="23"/>
                <w:szCs w:val="23"/>
              </w:rPr>
              <w:t>T1*INVDIFF</w:t>
            </w:r>
          </w:p>
        </w:tc>
        <w:tc>
          <w:tcPr>
            <w:tcW w:w="1510" w:type="dxa"/>
            <w:shd w:val="clear" w:color="auto" w:fill="auto"/>
            <w:noWrap/>
          </w:tcPr>
          <w:p w14:paraId="42360DB3" w14:textId="77777777" w:rsidR="00B10259" w:rsidRPr="00605672" w:rsidRDefault="00B10259" w:rsidP="004B0C26">
            <w:pPr>
              <w:jc w:val="right"/>
              <w:rPr>
                <w:rFonts w:eastAsia="Times New Roman"/>
                <w:sz w:val="23"/>
                <w:szCs w:val="23"/>
              </w:rPr>
            </w:pPr>
            <w:r w:rsidRPr="00605672">
              <w:rPr>
                <w:rFonts w:eastAsia="Times New Roman"/>
                <w:sz w:val="23"/>
                <w:szCs w:val="23"/>
              </w:rPr>
              <w:t>-.01</w:t>
            </w:r>
          </w:p>
        </w:tc>
        <w:tc>
          <w:tcPr>
            <w:tcW w:w="1100" w:type="dxa"/>
            <w:shd w:val="clear" w:color="auto" w:fill="auto"/>
            <w:noWrap/>
          </w:tcPr>
          <w:p w14:paraId="2EB873F4" w14:textId="77777777" w:rsidR="00B10259" w:rsidRPr="00605672" w:rsidRDefault="00B10259" w:rsidP="004B0C26">
            <w:pPr>
              <w:rPr>
                <w:rFonts w:eastAsia="Times New Roman"/>
                <w:sz w:val="23"/>
                <w:szCs w:val="23"/>
              </w:rPr>
            </w:pPr>
            <w:r w:rsidRPr="00605672">
              <w:rPr>
                <w:rFonts w:eastAsia="Times New Roman"/>
                <w:sz w:val="23"/>
                <w:szCs w:val="23"/>
              </w:rPr>
              <w:t>(.08)</w:t>
            </w:r>
          </w:p>
        </w:tc>
        <w:tc>
          <w:tcPr>
            <w:tcW w:w="1597" w:type="dxa"/>
            <w:shd w:val="clear" w:color="auto" w:fill="auto"/>
            <w:noWrap/>
          </w:tcPr>
          <w:p w14:paraId="75452F01" w14:textId="77777777" w:rsidR="00B10259" w:rsidRPr="00605672" w:rsidRDefault="00B10259" w:rsidP="004B0C26">
            <w:pPr>
              <w:jc w:val="right"/>
              <w:rPr>
                <w:rFonts w:eastAsia="Times New Roman"/>
                <w:sz w:val="23"/>
                <w:szCs w:val="23"/>
              </w:rPr>
            </w:pPr>
          </w:p>
        </w:tc>
        <w:tc>
          <w:tcPr>
            <w:tcW w:w="1134" w:type="dxa"/>
            <w:shd w:val="clear" w:color="auto" w:fill="auto"/>
            <w:noWrap/>
          </w:tcPr>
          <w:p w14:paraId="7A29319F" w14:textId="77777777" w:rsidR="00B10259" w:rsidRPr="00605672" w:rsidRDefault="00B10259" w:rsidP="004B0C26">
            <w:pPr>
              <w:rPr>
                <w:rFonts w:eastAsia="Times New Roman"/>
                <w:sz w:val="23"/>
                <w:szCs w:val="23"/>
              </w:rPr>
            </w:pPr>
          </w:p>
        </w:tc>
        <w:tc>
          <w:tcPr>
            <w:tcW w:w="1289" w:type="dxa"/>
            <w:shd w:val="clear" w:color="auto" w:fill="auto"/>
            <w:noWrap/>
          </w:tcPr>
          <w:p w14:paraId="19618F22" w14:textId="77777777" w:rsidR="00B10259" w:rsidRPr="00605672" w:rsidRDefault="00B10259" w:rsidP="004B0C26">
            <w:pPr>
              <w:jc w:val="right"/>
              <w:rPr>
                <w:rFonts w:eastAsia="Times New Roman"/>
                <w:sz w:val="23"/>
                <w:szCs w:val="23"/>
              </w:rPr>
            </w:pPr>
          </w:p>
        </w:tc>
        <w:tc>
          <w:tcPr>
            <w:tcW w:w="695" w:type="dxa"/>
            <w:shd w:val="clear" w:color="auto" w:fill="auto"/>
            <w:noWrap/>
            <w:vAlign w:val="bottom"/>
          </w:tcPr>
          <w:p w14:paraId="4EBCD442" w14:textId="77777777" w:rsidR="00B10259" w:rsidRPr="00605672" w:rsidRDefault="00B10259" w:rsidP="004B0C26">
            <w:pPr>
              <w:rPr>
                <w:rFonts w:eastAsia="Times New Roman"/>
                <w:sz w:val="23"/>
                <w:szCs w:val="23"/>
              </w:rPr>
            </w:pPr>
          </w:p>
        </w:tc>
      </w:tr>
      <w:tr w:rsidR="00B10259" w:rsidRPr="00605672" w14:paraId="473FD229" w14:textId="77777777" w:rsidTr="00727D37">
        <w:trPr>
          <w:cantSplit/>
          <w:trHeight w:hRule="exact" w:val="284"/>
          <w:jc w:val="center"/>
        </w:trPr>
        <w:tc>
          <w:tcPr>
            <w:tcW w:w="5246" w:type="dxa"/>
            <w:shd w:val="clear" w:color="auto" w:fill="auto"/>
            <w:noWrap/>
            <w:hideMark/>
          </w:tcPr>
          <w:p w14:paraId="37BF320F" w14:textId="77777777" w:rsidR="00B10259" w:rsidRPr="00605672" w:rsidRDefault="00B10259" w:rsidP="004B0C26">
            <w:pPr>
              <w:rPr>
                <w:rFonts w:eastAsia="Times New Roman"/>
                <w:sz w:val="23"/>
                <w:szCs w:val="23"/>
              </w:rPr>
            </w:pPr>
            <w:r w:rsidRPr="00605672">
              <w:rPr>
                <w:rFonts w:eastAsia="Times New Roman"/>
                <w:sz w:val="23"/>
                <w:szCs w:val="23"/>
              </w:rPr>
              <w:t xml:space="preserve">SINVT2*INVDIFF </w:t>
            </w:r>
          </w:p>
        </w:tc>
        <w:tc>
          <w:tcPr>
            <w:tcW w:w="1510" w:type="dxa"/>
            <w:shd w:val="clear" w:color="auto" w:fill="auto"/>
            <w:noWrap/>
          </w:tcPr>
          <w:p w14:paraId="3CF02FBC" w14:textId="77777777" w:rsidR="00B10259" w:rsidRPr="00605672" w:rsidRDefault="00B10259" w:rsidP="004B0C26">
            <w:pPr>
              <w:jc w:val="right"/>
              <w:rPr>
                <w:rFonts w:eastAsia="Times New Roman"/>
                <w:sz w:val="23"/>
                <w:szCs w:val="23"/>
              </w:rPr>
            </w:pPr>
            <w:r w:rsidRPr="00605672">
              <w:rPr>
                <w:rFonts w:eastAsia="Times New Roman"/>
                <w:sz w:val="23"/>
                <w:szCs w:val="23"/>
              </w:rPr>
              <w:t xml:space="preserve"> H3b(-) -.08</w:t>
            </w:r>
          </w:p>
        </w:tc>
        <w:tc>
          <w:tcPr>
            <w:tcW w:w="1100" w:type="dxa"/>
            <w:shd w:val="clear" w:color="auto" w:fill="auto"/>
            <w:noWrap/>
          </w:tcPr>
          <w:p w14:paraId="6564014F" w14:textId="77777777" w:rsidR="00B10259" w:rsidRPr="00605672" w:rsidRDefault="00B10259" w:rsidP="004B0C26">
            <w:pPr>
              <w:rPr>
                <w:rFonts w:eastAsia="Times New Roman"/>
                <w:sz w:val="23"/>
                <w:szCs w:val="23"/>
              </w:rPr>
            </w:pPr>
            <w:r w:rsidRPr="00605672">
              <w:rPr>
                <w:rFonts w:eastAsia="Times New Roman"/>
                <w:sz w:val="23"/>
                <w:szCs w:val="23"/>
              </w:rPr>
              <w:t>(.16)</w:t>
            </w:r>
          </w:p>
        </w:tc>
        <w:tc>
          <w:tcPr>
            <w:tcW w:w="1597" w:type="dxa"/>
            <w:shd w:val="clear" w:color="auto" w:fill="auto"/>
            <w:noWrap/>
          </w:tcPr>
          <w:p w14:paraId="48930E83" w14:textId="77777777" w:rsidR="00B10259" w:rsidRPr="00605672" w:rsidRDefault="00B10259" w:rsidP="004B0C26">
            <w:pPr>
              <w:jc w:val="right"/>
              <w:rPr>
                <w:rFonts w:eastAsia="Times New Roman"/>
                <w:sz w:val="23"/>
                <w:szCs w:val="23"/>
              </w:rPr>
            </w:pPr>
          </w:p>
        </w:tc>
        <w:tc>
          <w:tcPr>
            <w:tcW w:w="1134" w:type="dxa"/>
            <w:shd w:val="clear" w:color="auto" w:fill="auto"/>
            <w:noWrap/>
          </w:tcPr>
          <w:p w14:paraId="4CA0971F" w14:textId="77777777" w:rsidR="00B10259" w:rsidRPr="00605672" w:rsidRDefault="00B10259" w:rsidP="004B0C26">
            <w:pPr>
              <w:rPr>
                <w:rFonts w:eastAsia="Times New Roman"/>
                <w:sz w:val="23"/>
                <w:szCs w:val="23"/>
              </w:rPr>
            </w:pPr>
          </w:p>
        </w:tc>
        <w:tc>
          <w:tcPr>
            <w:tcW w:w="1289" w:type="dxa"/>
            <w:shd w:val="clear" w:color="auto" w:fill="auto"/>
            <w:noWrap/>
          </w:tcPr>
          <w:p w14:paraId="47D270CE" w14:textId="77777777" w:rsidR="00B10259" w:rsidRPr="00605672" w:rsidRDefault="00B10259" w:rsidP="004B0C26">
            <w:pPr>
              <w:jc w:val="right"/>
              <w:rPr>
                <w:rFonts w:eastAsia="Times New Roman"/>
                <w:sz w:val="23"/>
                <w:szCs w:val="23"/>
              </w:rPr>
            </w:pPr>
          </w:p>
        </w:tc>
        <w:tc>
          <w:tcPr>
            <w:tcW w:w="695" w:type="dxa"/>
            <w:shd w:val="clear" w:color="auto" w:fill="auto"/>
            <w:noWrap/>
            <w:vAlign w:val="bottom"/>
          </w:tcPr>
          <w:p w14:paraId="6F3E61EE" w14:textId="77777777" w:rsidR="00B10259" w:rsidRPr="00605672" w:rsidRDefault="00B10259" w:rsidP="004B0C26">
            <w:pPr>
              <w:rPr>
                <w:rFonts w:eastAsia="Times New Roman"/>
                <w:sz w:val="23"/>
                <w:szCs w:val="23"/>
              </w:rPr>
            </w:pPr>
          </w:p>
        </w:tc>
      </w:tr>
      <w:tr w:rsidR="00B10259" w:rsidRPr="00605672" w14:paraId="1014A38C" w14:textId="77777777" w:rsidTr="00727D37">
        <w:trPr>
          <w:cantSplit/>
          <w:trHeight w:hRule="exact" w:val="284"/>
          <w:jc w:val="center"/>
        </w:trPr>
        <w:tc>
          <w:tcPr>
            <w:tcW w:w="5246" w:type="dxa"/>
            <w:shd w:val="clear" w:color="auto" w:fill="auto"/>
            <w:noWrap/>
            <w:hideMark/>
          </w:tcPr>
          <w:p w14:paraId="766E3B8B" w14:textId="77777777" w:rsidR="00B10259" w:rsidRPr="00605672" w:rsidRDefault="00B10259" w:rsidP="004B0C26">
            <w:pPr>
              <w:rPr>
                <w:rFonts w:eastAsia="Times New Roman"/>
                <w:sz w:val="23"/>
                <w:szCs w:val="23"/>
              </w:rPr>
            </w:pPr>
            <w:r w:rsidRPr="00605672">
              <w:rPr>
                <w:rFonts w:eastAsia="Times New Roman"/>
                <w:sz w:val="23"/>
                <w:szCs w:val="23"/>
              </w:rPr>
              <w:t>SINVT2*INVDIFF*</w:t>
            </w:r>
            <w:r w:rsidR="003B7993" w:rsidRPr="00605672">
              <w:rPr>
                <w:rFonts w:eastAsia="Times New Roman"/>
                <w:sz w:val="23"/>
                <w:szCs w:val="23"/>
              </w:rPr>
              <w:t>SSEL</w:t>
            </w:r>
            <w:r w:rsidRPr="00605672">
              <w:rPr>
                <w:rFonts w:eastAsia="Times New Roman"/>
                <w:sz w:val="23"/>
                <w:szCs w:val="23"/>
              </w:rPr>
              <w:t xml:space="preserve">T1 </w:t>
            </w:r>
          </w:p>
        </w:tc>
        <w:tc>
          <w:tcPr>
            <w:tcW w:w="1510" w:type="dxa"/>
            <w:shd w:val="clear" w:color="auto" w:fill="auto"/>
            <w:noWrap/>
          </w:tcPr>
          <w:p w14:paraId="7DEF3CBA" w14:textId="77777777" w:rsidR="00B10259" w:rsidRPr="00605672" w:rsidRDefault="00B10259" w:rsidP="004B0C26">
            <w:pPr>
              <w:jc w:val="right"/>
              <w:rPr>
                <w:rFonts w:eastAsia="Times New Roman"/>
                <w:sz w:val="23"/>
                <w:szCs w:val="23"/>
              </w:rPr>
            </w:pPr>
            <w:r w:rsidRPr="00605672">
              <w:rPr>
                <w:rFonts w:eastAsia="Times New Roman"/>
                <w:sz w:val="23"/>
                <w:szCs w:val="23"/>
              </w:rPr>
              <w:t xml:space="preserve"> H4(-)</w:t>
            </w:r>
            <w:r w:rsidR="00605672" w:rsidRPr="00605672">
              <w:rPr>
                <w:rFonts w:eastAsia="Times New Roman"/>
                <w:sz w:val="23"/>
                <w:szCs w:val="23"/>
              </w:rPr>
              <w:t xml:space="preserve"> </w:t>
            </w:r>
            <w:r w:rsidRPr="00605672">
              <w:rPr>
                <w:rFonts w:eastAsia="Times New Roman"/>
                <w:sz w:val="23"/>
                <w:szCs w:val="23"/>
              </w:rPr>
              <w:t>-.13</w:t>
            </w:r>
          </w:p>
        </w:tc>
        <w:tc>
          <w:tcPr>
            <w:tcW w:w="1100" w:type="dxa"/>
            <w:shd w:val="clear" w:color="auto" w:fill="auto"/>
            <w:noWrap/>
          </w:tcPr>
          <w:p w14:paraId="5DF9A7E0" w14:textId="77777777" w:rsidR="00B10259" w:rsidRPr="00605672" w:rsidRDefault="00B10259" w:rsidP="004B0C26">
            <w:pPr>
              <w:rPr>
                <w:rFonts w:eastAsia="Times New Roman"/>
                <w:sz w:val="23"/>
                <w:szCs w:val="23"/>
              </w:rPr>
            </w:pPr>
            <w:r w:rsidRPr="00605672">
              <w:rPr>
                <w:rFonts w:eastAsia="Times New Roman"/>
                <w:sz w:val="23"/>
                <w:szCs w:val="23"/>
              </w:rPr>
              <w:t>(.06)**</w:t>
            </w:r>
          </w:p>
        </w:tc>
        <w:tc>
          <w:tcPr>
            <w:tcW w:w="1597" w:type="dxa"/>
            <w:shd w:val="clear" w:color="auto" w:fill="auto"/>
            <w:noWrap/>
          </w:tcPr>
          <w:p w14:paraId="4DAA2367" w14:textId="77777777" w:rsidR="00B10259" w:rsidRPr="00605672" w:rsidRDefault="00B10259" w:rsidP="004B0C26">
            <w:pPr>
              <w:jc w:val="right"/>
              <w:rPr>
                <w:rFonts w:eastAsia="Times New Roman"/>
                <w:sz w:val="23"/>
                <w:szCs w:val="23"/>
              </w:rPr>
            </w:pPr>
          </w:p>
        </w:tc>
        <w:tc>
          <w:tcPr>
            <w:tcW w:w="1134" w:type="dxa"/>
            <w:shd w:val="clear" w:color="auto" w:fill="auto"/>
            <w:noWrap/>
          </w:tcPr>
          <w:p w14:paraId="131CF6E5" w14:textId="77777777" w:rsidR="00B10259" w:rsidRPr="00605672" w:rsidRDefault="00B10259" w:rsidP="004B0C26">
            <w:pPr>
              <w:rPr>
                <w:rFonts w:eastAsia="Times New Roman"/>
                <w:sz w:val="23"/>
                <w:szCs w:val="23"/>
              </w:rPr>
            </w:pPr>
          </w:p>
        </w:tc>
        <w:tc>
          <w:tcPr>
            <w:tcW w:w="1289" w:type="dxa"/>
            <w:shd w:val="clear" w:color="auto" w:fill="auto"/>
            <w:noWrap/>
          </w:tcPr>
          <w:p w14:paraId="593865D0" w14:textId="77777777" w:rsidR="00B10259" w:rsidRPr="00605672" w:rsidRDefault="00B10259" w:rsidP="004B0C26">
            <w:pPr>
              <w:jc w:val="right"/>
              <w:rPr>
                <w:rFonts w:eastAsia="Times New Roman"/>
                <w:sz w:val="23"/>
                <w:szCs w:val="23"/>
              </w:rPr>
            </w:pPr>
          </w:p>
        </w:tc>
        <w:tc>
          <w:tcPr>
            <w:tcW w:w="695" w:type="dxa"/>
            <w:shd w:val="clear" w:color="auto" w:fill="auto"/>
            <w:noWrap/>
            <w:vAlign w:val="bottom"/>
          </w:tcPr>
          <w:p w14:paraId="63A6C65C" w14:textId="77777777" w:rsidR="00B10259" w:rsidRPr="00605672" w:rsidRDefault="00B10259" w:rsidP="004B0C26">
            <w:pPr>
              <w:rPr>
                <w:rFonts w:eastAsia="Times New Roman"/>
                <w:sz w:val="23"/>
                <w:szCs w:val="23"/>
              </w:rPr>
            </w:pPr>
          </w:p>
        </w:tc>
      </w:tr>
      <w:tr w:rsidR="006334C0" w:rsidRPr="00605672" w14:paraId="7052FECC" w14:textId="77777777" w:rsidTr="002E6B3C">
        <w:trPr>
          <w:cantSplit/>
          <w:trHeight w:hRule="exact" w:val="284"/>
          <w:jc w:val="center"/>
        </w:trPr>
        <w:tc>
          <w:tcPr>
            <w:tcW w:w="12571" w:type="dxa"/>
            <w:gridSpan w:val="7"/>
            <w:shd w:val="clear" w:color="auto" w:fill="auto"/>
            <w:noWrap/>
          </w:tcPr>
          <w:p w14:paraId="02D2E976" w14:textId="77777777" w:rsidR="006334C0" w:rsidRPr="00605672" w:rsidRDefault="006334C0" w:rsidP="004B0C26">
            <w:pPr>
              <w:rPr>
                <w:rFonts w:eastAsia="Times New Roman"/>
                <w:sz w:val="23"/>
                <w:szCs w:val="23"/>
              </w:rPr>
            </w:pPr>
            <w:r w:rsidRPr="00605672">
              <w:rPr>
                <w:rFonts w:eastAsia="Times New Roman"/>
                <w:b/>
                <w:sz w:val="23"/>
                <w:szCs w:val="23"/>
              </w:rPr>
              <w:t>Control Variables</w:t>
            </w:r>
          </w:p>
        </w:tc>
      </w:tr>
      <w:tr w:rsidR="006334C0" w:rsidRPr="00605672" w14:paraId="11A57D64" w14:textId="77777777" w:rsidTr="00727D37">
        <w:trPr>
          <w:cantSplit/>
          <w:trHeight w:hRule="exact" w:val="284"/>
          <w:jc w:val="center"/>
        </w:trPr>
        <w:tc>
          <w:tcPr>
            <w:tcW w:w="5246" w:type="dxa"/>
            <w:shd w:val="clear" w:color="auto" w:fill="auto"/>
            <w:noWrap/>
          </w:tcPr>
          <w:p w14:paraId="3B05DB63" w14:textId="77777777" w:rsidR="006334C0" w:rsidRPr="00605672" w:rsidRDefault="00033918" w:rsidP="00935E82">
            <w:pPr>
              <w:rPr>
                <w:rFonts w:eastAsia="Times New Roman"/>
                <w:sz w:val="23"/>
                <w:szCs w:val="23"/>
              </w:rPr>
            </w:pPr>
            <w:r w:rsidRPr="00605672">
              <w:rPr>
                <w:rFonts w:eastAsia="Times New Roman"/>
                <w:sz w:val="23"/>
                <w:szCs w:val="23"/>
              </w:rPr>
              <w:t xml:space="preserve">Reseller </w:t>
            </w:r>
            <w:r w:rsidR="006334C0" w:rsidRPr="00605672">
              <w:rPr>
                <w:rFonts w:eastAsia="Times New Roman"/>
                <w:sz w:val="23"/>
                <w:szCs w:val="23"/>
              </w:rPr>
              <w:t>increm</w:t>
            </w:r>
            <w:r w:rsidR="00935E82" w:rsidRPr="00605672">
              <w:rPr>
                <w:rFonts w:eastAsia="Times New Roman"/>
                <w:sz w:val="23"/>
                <w:szCs w:val="23"/>
              </w:rPr>
              <w:t xml:space="preserve">ental </w:t>
            </w:r>
            <w:r w:rsidR="006334C0" w:rsidRPr="00605672">
              <w:rPr>
                <w:rFonts w:eastAsia="Times New Roman"/>
                <w:sz w:val="23"/>
                <w:szCs w:val="23"/>
              </w:rPr>
              <w:t>inv</w:t>
            </w:r>
            <w:r w:rsidR="00935E82" w:rsidRPr="00605672">
              <w:rPr>
                <w:rFonts w:eastAsia="Times New Roman"/>
                <w:sz w:val="23"/>
                <w:szCs w:val="23"/>
              </w:rPr>
              <w:t xml:space="preserve">estment </w:t>
            </w:r>
            <w:r w:rsidR="006334C0" w:rsidRPr="00605672">
              <w:rPr>
                <w:rFonts w:eastAsia="Times New Roman"/>
                <w:sz w:val="23"/>
                <w:szCs w:val="23"/>
              </w:rPr>
              <w:t>t2, RINVT2</w:t>
            </w:r>
          </w:p>
        </w:tc>
        <w:tc>
          <w:tcPr>
            <w:tcW w:w="1510" w:type="dxa"/>
            <w:shd w:val="clear" w:color="auto" w:fill="auto"/>
            <w:noWrap/>
          </w:tcPr>
          <w:p w14:paraId="6ABE3882" w14:textId="77777777" w:rsidR="006334C0" w:rsidRPr="00605672" w:rsidRDefault="006334C0" w:rsidP="004B0C26">
            <w:pPr>
              <w:jc w:val="right"/>
              <w:rPr>
                <w:rFonts w:eastAsia="Times New Roman"/>
                <w:sz w:val="23"/>
                <w:szCs w:val="23"/>
              </w:rPr>
            </w:pPr>
            <w:r w:rsidRPr="00605672">
              <w:rPr>
                <w:rFonts w:eastAsia="Times New Roman"/>
                <w:sz w:val="23"/>
                <w:szCs w:val="23"/>
              </w:rPr>
              <w:t>.70</w:t>
            </w:r>
          </w:p>
        </w:tc>
        <w:tc>
          <w:tcPr>
            <w:tcW w:w="1100" w:type="dxa"/>
            <w:shd w:val="clear" w:color="auto" w:fill="auto"/>
            <w:noWrap/>
          </w:tcPr>
          <w:p w14:paraId="1E8AC160" w14:textId="77777777" w:rsidR="006334C0" w:rsidRPr="00605672" w:rsidRDefault="006334C0" w:rsidP="004B0C26">
            <w:pPr>
              <w:rPr>
                <w:rFonts w:eastAsia="Times New Roman"/>
                <w:sz w:val="23"/>
                <w:szCs w:val="23"/>
              </w:rPr>
            </w:pPr>
            <w:r w:rsidRPr="00605672">
              <w:rPr>
                <w:rFonts w:eastAsia="Times New Roman"/>
                <w:sz w:val="23"/>
                <w:szCs w:val="23"/>
              </w:rPr>
              <w:t>(.25)***</w:t>
            </w:r>
          </w:p>
        </w:tc>
        <w:tc>
          <w:tcPr>
            <w:tcW w:w="1597" w:type="dxa"/>
            <w:shd w:val="clear" w:color="auto" w:fill="auto"/>
            <w:noWrap/>
          </w:tcPr>
          <w:p w14:paraId="4C2933CD" w14:textId="77777777" w:rsidR="006334C0" w:rsidRPr="00605672" w:rsidRDefault="006334C0" w:rsidP="004B0C26">
            <w:pPr>
              <w:jc w:val="right"/>
              <w:rPr>
                <w:rFonts w:eastAsia="Times New Roman"/>
                <w:sz w:val="23"/>
                <w:szCs w:val="23"/>
              </w:rPr>
            </w:pPr>
          </w:p>
        </w:tc>
        <w:tc>
          <w:tcPr>
            <w:tcW w:w="1134" w:type="dxa"/>
            <w:shd w:val="clear" w:color="auto" w:fill="auto"/>
            <w:noWrap/>
          </w:tcPr>
          <w:p w14:paraId="63B51497" w14:textId="77777777" w:rsidR="006334C0" w:rsidRPr="00605672" w:rsidRDefault="006334C0" w:rsidP="004B0C26">
            <w:pPr>
              <w:rPr>
                <w:rFonts w:eastAsia="Times New Roman"/>
                <w:sz w:val="23"/>
                <w:szCs w:val="23"/>
              </w:rPr>
            </w:pPr>
          </w:p>
        </w:tc>
        <w:tc>
          <w:tcPr>
            <w:tcW w:w="1289" w:type="dxa"/>
            <w:shd w:val="clear" w:color="auto" w:fill="auto"/>
            <w:noWrap/>
          </w:tcPr>
          <w:p w14:paraId="34E3CBE2" w14:textId="77777777" w:rsidR="006334C0" w:rsidRPr="00605672" w:rsidRDefault="006334C0" w:rsidP="004B0C26">
            <w:pPr>
              <w:jc w:val="right"/>
              <w:rPr>
                <w:rFonts w:eastAsia="Times New Roman"/>
                <w:sz w:val="23"/>
                <w:szCs w:val="23"/>
              </w:rPr>
            </w:pPr>
          </w:p>
        </w:tc>
        <w:tc>
          <w:tcPr>
            <w:tcW w:w="695" w:type="dxa"/>
            <w:shd w:val="clear" w:color="auto" w:fill="auto"/>
            <w:noWrap/>
          </w:tcPr>
          <w:p w14:paraId="22116D94" w14:textId="77777777" w:rsidR="006334C0" w:rsidRPr="00605672" w:rsidRDefault="006334C0" w:rsidP="004B0C26">
            <w:pPr>
              <w:rPr>
                <w:rFonts w:eastAsia="Times New Roman"/>
                <w:sz w:val="23"/>
                <w:szCs w:val="23"/>
              </w:rPr>
            </w:pPr>
          </w:p>
        </w:tc>
      </w:tr>
      <w:tr w:rsidR="006334C0" w:rsidRPr="00605672" w14:paraId="270F88DF" w14:textId="77777777" w:rsidTr="00727D37">
        <w:trPr>
          <w:cantSplit/>
          <w:trHeight w:hRule="exact" w:val="284"/>
          <w:jc w:val="center"/>
        </w:trPr>
        <w:tc>
          <w:tcPr>
            <w:tcW w:w="5246" w:type="dxa"/>
            <w:shd w:val="clear" w:color="auto" w:fill="auto"/>
            <w:noWrap/>
          </w:tcPr>
          <w:p w14:paraId="14C828C4" w14:textId="77777777" w:rsidR="006334C0" w:rsidRPr="00605672" w:rsidRDefault="006334C0" w:rsidP="00935E82">
            <w:pPr>
              <w:rPr>
                <w:rFonts w:eastAsia="Times New Roman"/>
                <w:sz w:val="23"/>
                <w:szCs w:val="23"/>
              </w:rPr>
            </w:pPr>
            <w:r w:rsidRPr="00605672">
              <w:rPr>
                <w:rFonts w:eastAsia="Times New Roman"/>
                <w:sz w:val="23"/>
                <w:szCs w:val="23"/>
              </w:rPr>
              <w:t>Supplier inv</w:t>
            </w:r>
            <w:r w:rsidR="00935E82" w:rsidRPr="00605672">
              <w:rPr>
                <w:rFonts w:eastAsia="Times New Roman"/>
                <w:sz w:val="23"/>
                <w:szCs w:val="23"/>
              </w:rPr>
              <w:t xml:space="preserve">estment </w:t>
            </w:r>
            <w:r w:rsidRPr="00605672">
              <w:rPr>
                <w:rFonts w:eastAsia="Times New Roman"/>
                <w:sz w:val="23"/>
                <w:szCs w:val="23"/>
              </w:rPr>
              <w:t>t1, SINVT1</w:t>
            </w:r>
          </w:p>
        </w:tc>
        <w:tc>
          <w:tcPr>
            <w:tcW w:w="1510" w:type="dxa"/>
            <w:shd w:val="clear" w:color="auto" w:fill="auto"/>
            <w:noWrap/>
          </w:tcPr>
          <w:p w14:paraId="5DD0ACF6" w14:textId="77777777" w:rsidR="006334C0" w:rsidRPr="00605672" w:rsidRDefault="006334C0" w:rsidP="004B0C26">
            <w:pPr>
              <w:jc w:val="right"/>
              <w:rPr>
                <w:rFonts w:eastAsia="Times New Roman"/>
                <w:sz w:val="23"/>
                <w:szCs w:val="23"/>
              </w:rPr>
            </w:pPr>
            <w:r w:rsidRPr="00605672">
              <w:rPr>
                <w:rFonts w:eastAsia="Times New Roman"/>
                <w:sz w:val="23"/>
                <w:szCs w:val="23"/>
              </w:rPr>
              <w:t>-.13</w:t>
            </w:r>
          </w:p>
        </w:tc>
        <w:tc>
          <w:tcPr>
            <w:tcW w:w="1100" w:type="dxa"/>
            <w:shd w:val="clear" w:color="auto" w:fill="auto"/>
            <w:noWrap/>
          </w:tcPr>
          <w:p w14:paraId="29883754" w14:textId="77777777" w:rsidR="006334C0" w:rsidRPr="00605672" w:rsidRDefault="006334C0" w:rsidP="004B0C26">
            <w:pPr>
              <w:rPr>
                <w:rFonts w:eastAsia="Times New Roman"/>
                <w:sz w:val="23"/>
                <w:szCs w:val="23"/>
              </w:rPr>
            </w:pPr>
            <w:r w:rsidRPr="00605672">
              <w:rPr>
                <w:rFonts w:eastAsia="Times New Roman"/>
                <w:sz w:val="23"/>
                <w:szCs w:val="23"/>
              </w:rPr>
              <w:t>(.41)</w:t>
            </w:r>
          </w:p>
        </w:tc>
        <w:tc>
          <w:tcPr>
            <w:tcW w:w="1597" w:type="dxa"/>
            <w:shd w:val="clear" w:color="auto" w:fill="auto"/>
            <w:noWrap/>
          </w:tcPr>
          <w:p w14:paraId="69BF62D0" w14:textId="77777777" w:rsidR="006334C0" w:rsidRPr="00605672" w:rsidRDefault="006334C0" w:rsidP="004B0C26">
            <w:pPr>
              <w:jc w:val="right"/>
              <w:rPr>
                <w:rFonts w:eastAsia="Times New Roman"/>
                <w:sz w:val="23"/>
                <w:szCs w:val="23"/>
              </w:rPr>
            </w:pPr>
            <w:r w:rsidRPr="00605672">
              <w:rPr>
                <w:rFonts w:eastAsia="Times New Roman"/>
                <w:sz w:val="23"/>
                <w:szCs w:val="23"/>
              </w:rPr>
              <w:t>.63</w:t>
            </w:r>
          </w:p>
        </w:tc>
        <w:tc>
          <w:tcPr>
            <w:tcW w:w="1134" w:type="dxa"/>
            <w:shd w:val="clear" w:color="auto" w:fill="auto"/>
            <w:noWrap/>
          </w:tcPr>
          <w:p w14:paraId="6E3EA279" w14:textId="77777777" w:rsidR="006334C0" w:rsidRPr="00605672" w:rsidRDefault="006334C0" w:rsidP="004B0C26">
            <w:pPr>
              <w:rPr>
                <w:rFonts w:eastAsia="Times New Roman"/>
                <w:sz w:val="23"/>
                <w:szCs w:val="23"/>
              </w:rPr>
            </w:pPr>
            <w:r w:rsidRPr="00605672">
              <w:rPr>
                <w:rFonts w:eastAsia="Times New Roman"/>
                <w:sz w:val="23"/>
                <w:szCs w:val="23"/>
              </w:rPr>
              <w:t>(.13)***</w:t>
            </w:r>
          </w:p>
        </w:tc>
        <w:tc>
          <w:tcPr>
            <w:tcW w:w="1289" w:type="dxa"/>
            <w:shd w:val="clear" w:color="auto" w:fill="auto"/>
            <w:noWrap/>
          </w:tcPr>
          <w:p w14:paraId="73EBDEC9" w14:textId="77777777" w:rsidR="006334C0" w:rsidRPr="00605672" w:rsidRDefault="006334C0" w:rsidP="004B0C26">
            <w:pPr>
              <w:jc w:val="right"/>
              <w:rPr>
                <w:rFonts w:eastAsia="Times New Roman"/>
                <w:sz w:val="23"/>
                <w:szCs w:val="23"/>
              </w:rPr>
            </w:pPr>
            <w:r w:rsidRPr="00605672">
              <w:rPr>
                <w:rFonts w:eastAsia="Times New Roman"/>
                <w:sz w:val="23"/>
                <w:szCs w:val="23"/>
              </w:rPr>
              <w:t>1.41</w:t>
            </w:r>
          </w:p>
        </w:tc>
        <w:tc>
          <w:tcPr>
            <w:tcW w:w="695" w:type="dxa"/>
            <w:shd w:val="clear" w:color="auto" w:fill="auto"/>
            <w:noWrap/>
            <w:vAlign w:val="bottom"/>
          </w:tcPr>
          <w:p w14:paraId="3ACEB556" w14:textId="77777777" w:rsidR="006334C0" w:rsidRPr="00605672" w:rsidRDefault="006334C0" w:rsidP="004B0C26">
            <w:pPr>
              <w:rPr>
                <w:rFonts w:eastAsia="Times New Roman"/>
                <w:sz w:val="23"/>
                <w:szCs w:val="23"/>
              </w:rPr>
            </w:pPr>
            <w:r w:rsidRPr="00605672">
              <w:rPr>
                <w:rFonts w:eastAsia="Times New Roman"/>
                <w:sz w:val="23"/>
                <w:szCs w:val="23"/>
              </w:rPr>
              <w:t>(.21)***</w:t>
            </w:r>
          </w:p>
        </w:tc>
      </w:tr>
      <w:tr w:rsidR="006334C0" w:rsidRPr="00605672" w14:paraId="29055AB9" w14:textId="77777777" w:rsidTr="00727D37">
        <w:trPr>
          <w:cantSplit/>
          <w:trHeight w:hRule="exact" w:val="284"/>
          <w:jc w:val="center"/>
        </w:trPr>
        <w:tc>
          <w:tcPr>
            <w:tcW w:w="5246" w:type="dxa"/>
            <w:shd w:val="clear" w:color="auto" w:fill="auto"/>
            <w:noWrap/>
          </w:tcPr>
          <w:p w14:paraId="1A02AAAE" w14:textId="77777777" w:rsidR="006334C0" w:rsidRPr="00605672" w:rsidRDefault="006334C0" w:rsidP="00935E82">
            <w:pPr>
              <w:rPr>
                <w:rFonts w:eastAsia="Times New Roman"/>
                <w:sz w:val="23"/>
                <w:szCs w:val="23"/>
              </w:rPr>
            </w:pPr>
            <w:r w:rsidRPr="00605672">
              <w:rPr>
                <w:rFonts w:eastAsia="Times New Roman"/>
                <w:sz w:val="23"/>
                <w:szCs w:val="23"/>
              </w:rPr>
              <w:t xml:space="preserve">Supplier </w:t>
            </w:r>
            <w:r w:rsidR="00935E82" w:rsidRPr="00605672">
              <w:rPr>
                <w:rFonts w:eastAsia="Times New Roman"/>
                <w:sz w:val="23"/>
                <w:szCs w:val="23"/>
              </w:rPr>
              <w:t xml:space="preserve">selection </w:t>
            </w:r>
            <w:r w:rsidRPr="00605672">
              <w:rPr>
                <w:rFonts w:eastAsia="Times New Roman"/>
                <w:sz w:val="23"/>
                <w:szCs w:val="23"/>
              </w:rPr>
              <w:t xml:space="preserve">t1, </w:t>
            </w:r>
            <w:r w:rsidR="003B7993" w:rsidRPr="00605672">
              <w:rPr>
                <w:rFonts w:eastAsia="Times New Roman"/>
                <w:sz w:val="23"/>
                <w:szCs w:val="23"/>
              </w:rPr>
              <w:t>RSEL</w:t>
            </w:r>
            <w:r w:rsidRPr="00605672">
              <w:rPr>
                <w:rFonts w:eastAsia="Times New Roman"/>
                <w:sz w:val="23"/>
                <w:szCs w:val="23"/>
              </w:rPr>
              <w:t>T1</w:t>
            </w:r>
          </w:p>
        </w:tc>
        <w:tc>
          <w:tcPr>
            <w:tcW w:w="1510" w:type="dxa"/>
            <w:shd w:val="clear" w:color="auto" w:fill="auto"/>
            <w:noWrap/>
          </w:tcPr>
          <w:p w14:paraId="735A9C9D" w14:textId="77777777" w:rsidR="006334C0" w:rsidRPr="00605672" w:rsidRDefault="006334C0" w:rsidP="004B0C26">
            <w:pPr>
              <w:jc w:val="right"/>
              <w:rPr>
                <w:rFonts w:eastAsia="Times New Roman"/>
                <w:sz w:val="23"/>
                <w:szCs w:val="23"/>
              </w:rPr>
            </w:pPr>
            <w:r w:rsidRPr="00605672">
              <w:rPr>
                <w:rFonts w:eastAsia="Times New Roman"/>
                <w:sz w:val="23"/>
                <w:szCs w:val="23"/>
              </w:rPr>
              <w:t>-.02</w:t>
            </w:r>
          </w:p>
        </w:tc>
        <w:tc>
          <w:tcPr>
            <w:tcW w:w="1100" w:type="dxa"/>
            <w:shd w:val="clear" w:color="auto" w:fill="auto"/>
            <w:noWrap/>
          </w:tcPr>
          <w:p w14:paraId="76373735" w14:textId="77777777" w:rsidR="006334C0" w:rsidRPr="00605672" w:rsidRDefault="006334C0" w:rsidP="004B0C26">
            <w:pPr>
              <w:rPr>
                <w:rFonts w:eastAsia="Times New Roman"/>
                <w:sz w:val="23"/>
                <w:szCs w:val="23"/>
              </w:rPr>
            </w:pPr>
            <w:r w:rsidRPr="00605672">
              <w:rPr>
                <w:rFonts w:eastAsia="Times New Roman"/>
                <w:sz w:val="23"/>
                <w:szCs w:val="23"/>
              </w:rPr>
              <w:t>(.07)</w:t>
            </w:r>
          </w:p>
        </w:tc>
        <w:tc>
          <w:tcPr>
            <w:tcW w:w="1597" w:type="dxa"/>
            <w:shd w:val="clear" w:color="auto" w:fill="auto"/>
            <w:noWrap/>
          </w:tcPr>
          <w:p w14:paraId="3F4DD5FA" w14:textId="77777777" w:rsidR="006334C0" w:rsidRPr="00605672" w:rsidRDefault="006334C0" w:rsidP="004B0C26">
            <w:pPr>
              <w:jc w:val="right"/>
              <w:rPr>
                <w:rFonts w:eastAsia="Times New Roman"/>
                <w:sz w:val="23"/>
                <w:szCs w:val="23"/>
              </w:rPr>
            </w:pPr>
            <w:r w:rsidRPr="00605672">
              <w:rPr>
                <w:rFonts w:eastAsia="Times New Roman"/>
                <w:sz w:val="23"/>
                <w:szCs w:val="23"/>
              </w:rPr>
              <w:t>.02</w:t>
            </w:r>
          </w:p>
        </w:tc>
        <w:tc>
          <w:tcPr>
            <w:tcW w:w="1134" w:type="dxa"/>
            <w:shd w:val="clear" w:color="auto" w:fill="auto"/>
            <w:noWrap/>
          </w:tcPr>
          <w:p w14:paraId="2816BD0D" w14:textId="77777777" w:rsidR="006334C0" w:rsidRPr="00605672" w:rsidRDefault="006334C0" w:rsidP="004B0C26">
            <w:pPr>
              <w:rPr>
                <w:rFonts w:eastAsia="Times New Roman"/>
                <w:sz w:val="23"/>
                <w:szCs w:val="23"/>
              </w:rPr>
            </w:pPr>
            <w:r w:rsidRPr="00605672">
              <w:rPr>
                <w:rFonts w:eastAsia="Times New Roman"/>
                <w:sz w:val="23"/>
                <w:szCs w:val="23"/>
              </w:rPr>
              <w:t>(.03)</w:t>
            </w:r>
          </w:p>
        </w:tc>
        <w:tc>
          <w:tcPr>
            <w:tcW w:w="1289" w:type="dxa"/>
            <w:shd w:val="clear" w:color="auto" w:fill="auto"/>
            <w:noWrap/>
          </w:tcPr>
          <w:p w14:paraId="0B5F5E6A" w14:textId="77777777" w:rsidR="006334C0" w:rsidRPr="00605672" w:rsidRDefault="006334C0" w:rsidP="004B0C26">
            <w:pPr>
              <w:jc w:val="right"/>
              <w:rPr>
                <w:rFonts w:eastAsia="Times New Roman"/>
                <w:sz w:val="23"/>
                <w:szCs w:val="23"/>
              </w:rPr>
            </w:pPr>
            <w:r w:rsidRPr="00605672">
              <w:rPr>
                <w:rFonts w:eastAsia="Times New Roman"/>
                <w:sz w:val="23"/>
                <w:szCs w:val="23"/>
              </w:rPr>
              <w:t>-.04</w:t>
            </w:r>
          </w:p>
        </w:tc>
        <w:tc>
          <w:tcPr>
            <w:tcW w:w="695" w:type="dxa"/>
            <w:shd w:val="clear" w:color="auto" w:fill="auto"/>
            <w:noWrap/>
            <w:vAlign w:val="bottom"/>
          </w:tcPr>
          <w:p w14:paraId="64B5AEF2" w14:textId="77777777" w:rsidR="006334C0" w:rsidRPr="00605672" w:rsidRDefault="006334C0" w:rsidP="004B0C26">
            <w:pPr>
              <w:rPr>
                <w:rFonts w:eastAsia="Times New Roman"/>
                <w:sz w:val="23"/>
                <w:szCs w:val="23"/>
              </w:rPr>
            </w:pPr>
            <w:r w:rsidRPr="00605672">
              <w:rPr>
                <w:rFonts w:eastAsia="Times New Roman"/>
                <w:sz w:val="23"/>
                <w:szCs w:val="23"/>
              </w:rPr>
              <w:t>(.04)</w:t>
            </w:r>
          </w:p>
        </w:tc>
      </w:tr>
      <w:tr w:rsidR="00B10259" w:rsidRPr="00605672" w14:paraId="0FED83BF" w14:textId="77777777" w:rsidTr="00727D37">
        <w:trPr>
          <w:cantSplit/>
          <w:trHeight w:hRule="exact" w:val="284"/>
          <w:jc w:val="center"/>
        </w:trPr>
        <w:tc>
          <w:tcPr>
            <w:tcW w:w="5246" w:type="dxa"/>
            <w:shd w:val="clear" w:color="auto" w:fill="auto"/>
            <w:noWrap/>
          </w:tcPr>
          <w:p w14:paraId="4D7638C2" w14:textId="77777777" w:rsidR="00B10259" w:rsidRPr="00605672" w:rsidRDefault="00B10259" w:rsidP="002B7691">
            <w:pPr>
              <w:rPr>
                <w:rFonts w:eastAsia="Times New Roman"/>
                <w:sz w:val="23"/>
                <w:szCs w:val="23"/>
              </w:rPr>
            </w:pPr>
            <w:r w:rsidRPr="00605672">
              <w:rPr>
                <w:rFonts w:eastAsia="Times New Roman"/>
                <w:sz w:val="23"/>
                <w:szCs w:val="23"/>
              </w:rPr>
              <w:t xml:space="preserve">Type of </w:t>
            </w:r>
            <w:r w:rsidR="00033918" w:rsidRPr="00605672">
              <w:rPr>
                <w:rFonts w:eastAsia="Times New Roman"/>
                <w:sz w:val="23"/>
                <w:szCs w:val="23"/>
              </w:rPr>
              <w:t>agreement</w:t>
            </w:r>
          </w:p>
        </w:tc>
        <w:tc>
          <w:tcPr>
            <w:tcW w:w="1510" w:type="dxa"/>
            <w:shd w:val="clear" w:color="auto" w:fill="auto"/>
            <w:noWrap/>
          </w:tcPr>
          <w:p w14:paraId="4B6C443E" w14:textId="77777777" w:rsidR="00B10259" w:rsidRPr="00605672" w:rsidRDefault="00B10259" w:rsidP="004B0C26">
            <w:pPr>
              <w:jc w:val="right"/>
              <w:rPr>
                <w:rFonts w:eastAsia="Times New Roman"/>
                <w:sz w:val="23"/>
                <w:szCs w:val="23"/>
              </w:rPr>
            </w:pPr>
            <w:r w:rsidRPr="00605672">
              <w:rPr>
                <w:rFonts w:eastAsia="Times New Roman"/>
                <w:sz w:val="23"/>
                <w:szCs w:val="23"/>
              </w:rPr>
              <w:t>-.59</w:t>
            </w:r>
          </w:p>
        </w:tc>
        <w:tc>
          <w:tcPr>
            <w:tcW w:w="1100" w:type="dxa"/>
            <w:shd w:val="clear" w:color="auto" w:fill="auto"/>
            <w:noWrap/>
          </w:tcPr>
          <w:p w14:paraId="1382C93B" w14:textId="77777777" w:rsidR="00B10259" w:rsidRPr="00605672" w:rsidRDefault="00B10259" w:rsidP="004B0C26">
            <w:pPr>
              <w:rPr>
                <w:rFonts w:eastAsia="Times New Roman"/>
                <w:sz w:val="23"/>
                <w:szCs w:val="23"/>
              </w:rPr>
            </w:pPr>
            <w:r w:rsidRPr="00605672">
              <w:rPr>
                <w:rFonts w:eastAsia="Times New Roman"/>
                <w:sz w:val="23"/>
                <w:szCs w:val="23"/>
              </w:rPr>
              <w:t>(.36)</w:t>
            </w:r>
          </w:p>
        </w:tc>
        <w:tc>
          <w:tcPr>
            <w:tcW w:w="1597" w:type="dxa"/>
            <w:shd w:val="clear" w:color="auto" w:fill="auto"/>
            <w:noWrap/>
          </w:tcPr>
          <w:p w14:paraId="1B6E9395" w14:textId="77777777" w:rsidR="00B10259" w:rsidRPr="00605672" w:rsidRDefault="00B10259" w:rsidP="004B0C26">
            <w:pPr>
              <w:jc w:val="right"/>
              <w:rPr>
                <w:rFonts w:eastAsia="Times New Roman"/>
                <w:sz w:val="23"/>
                <w:szCs w:val="23"/>
              </w:rPr>
            </w:pPr>
            <w:r w:rsidRPr="00605672">
              <w:rPr>
                <w:rFonts w:eastAsia="Times New Roman"/>
                <w:sz w:val="23"/>
                <w:szCs w:val="23"/>
              </w:rPr>
              <w:t>-.12</w:t>
            </w:r>
          </w:p>
        </w:tc>
        <w:tc>
          <w:tcPr>
            <w:tcW w:w="1134" w:type="dxa"/>
            <w:shd w:val="clear" w:color="auto" w:fill="auto"/>
            <w:noWrap/>
          </w:tcPr>
          <w:p w14:paraId="7C2088FA" w14:textId="77777777" w:rsidR="00B10259" w:rsidRPr="00605672" w:rsidRDefault="00B10259" w:rsidP="004B0C26">
            <w:pPr>
              <w:rPr>
                <w:rFonts w:eastAsia="Times New Roman"/>
                <w:sz w:val="23"/>
                <w:szCs w:val="23"/>
              </w:rPr>
            </w:pPr>
            <w:r w:rsidRPr="00605672">
              <w:rPr>
                <w:rFonts w:eastAsia="Times New Roman"/>
                <w:sz w:val="23"/>
                <w:szCs w:val="23"/>
              </w:rPr>
              <w:t>(.25)</w:t>
            </w:r>
          </w:p>
        </w:tc>
        <w:tc>
          <w:tcPr>
            <w:tcW w:w="1289" w:type="dxa"/>
            <w:shd w:val="clear" w:color="auto" w:fill="auto"/>
            <w:noWrap/>
          </w:tcPr>
          <w:p w14:paraId="0733D476" w14:textId="77777777" w:rsidR="00B10259" w:rsidRPr="00605672" w:rsidRDefault="00B10259" w:rsidP="004B0C26">
            <w:pPr>
              <w:jc w:val="right"/>
              <w:rPr>
                <w:rFonts w:eastAsia="Times New Roman"/>
                <w:sz w:val="23"/>
                <w:szCs w:val="23"/>
              </w:rPr>
            </w:pPr>
            <w:r w:rsidRPr="00605672">
              <w:rPr>
                <w:rFonts w:eastAsia="Times New Roman"/>
                <w:sz w:val="23"/>
                <w:szCs w:val="23"/>
              </w:rPr>
              <w:t>-.28</w:t>
            </w:r>
          </w:p>
        </w:tc>
        <w:tc>
          <w:tcPr>
            <w:tcW w:w="695" w:type="dxa"/>
            <w:shd w:val="clear" w:color="auto" w:fill="auto"/>
            <w:noWrap/>
            <w:vAlign w:val="bottom"/>
          </w:tcPr>
          <w:p w14:paraId="6A6A6D3C" w14:textId="77777777" w:rsidR="00B10259" w:rsidRPr="00605672" w:rsidRDefault="00B10259" w:rsidP="004B0C26">
            <w:pPr>
              <w:rPr>
                <w:rFonts w:eastAsia="Times New Roman"/>
                <w:sz w:val="23"/>
                <w:szCs w:val="23"/>
              </w:rPr>
            </w:pPr>
            <w:r w:rsidRPr="00605672">
              <w:rPr>
                <w:rFonts w:eastAsia="Times New Roman"/>
                <w:sz w:val="23"/>
                <w:szCs w:val="23"/>
              </w:rPr>
              <w:t>(.32)</w:t>
            </w:r>
          </w:p>
        </w:tc>
      </w:tr>
      <w:tr w:rsidR="00B10259" w:rsidRPr="00605672" w14:paraId="61E27345" w14:textId="77777777" w:rsidTr="00727D37">
        <w:trPr>
          <w:cantSplit/>
          <w:trHeight w:hRule="exact" w:val="284"/>
          <w:jc w:val="center"/>
        </w:trPr>
        <w:tc>
          <w:tcPr>
            <w:tcW w:w="5246" w:type="dxa"/>
            <w:shd w:val="clear" w:color="auto" w:fill="auto"/>
            <w:noWrap/>
            <w:hideMark/>
          </w:tcPr>
          <w:p w14:paraId="25E3EDE9" w14:textId="77777777" w:rsidR="00B10259" w:rsidRPr="00605672" w:rsidRDefault="00B10259" w:rsidP="004B0C26">
            <w:pPr>
              <w:rPr>
                <w:rFonts w:eastAsia="Times New Roman"/>
                <w:sz w:val="23"/>
                <w:szCs w:val="23"/>
              </w:rPr>
            </w:pPr>
            <w:r w:rsidRPr="00605672">
              <w:rPr>
                <w:rFonts w:eastAsia="Times New Roman"/>
                <w:sz w:val="23"/>
                <w:szCs w:val="23"/>
              </w:rPr>
              <w:t>Concentration of sales</w:t>
            </w:r>
          </w:p>
        </w:tc>
        <w:tc>
          <w:tcPr>
            <w:tcW w:w="1510" w:type="dxa"/>
            <w:shd w:val="clear" w:color="auto" w:fill="auto"/>
            <w:noWrap/>
          </w:tcPr>
          <w:p w14:paraId="342ACDF9" w14:textId="77777777" w:rsidR="00B10259" w:rsidRPr="00605672" w:rsidRDefault="00B10259" w:rsidP="004B0C26">
            <w:pPr>
              <w:jc w:val="right"/>
              <w:rPr>
                <w:rFonts w:eastAsia="Times New Roman"/>
                <w:sz w:val="23"/>
                <w:szCs w:val="23"/>
              </w:rPr>
            </w:pPr>
            <w:r w:rsidRPr="00605672">
              <w:rPr>
                <w:rFonts w:eastAsia="Times New Roman"/>
                <w:sz w:val="23"/>
                <w:szCs w:val="23"/>
              </w:rPr>
              <w:t>.50</w:t>
            </w:r>
          </w:p>
        </w:tc>
        <w:tc>
          <w:tcPr>
            <w:tcW w:w="1100" w:type="dxa"/>
            <w:shd w:val="clear" w:color="auto" w:fill="auto"/>
            <w:noWrap/>
          </w:tcPr>
          <w:p w14:paraId="692CAA7D" w14:textId="77777777" w:rsidR="00B10259" w:rsidRPr="00605672" w:rsidRDefault="00B10259" w:rsidP="004B0C26">
            <w:pPr>
              <w:rPr>
                <w:rFonts w:eastAsia="Times New Roman"/>
                <w:sz w:val="23"/>
                <w:szCs w:val="23"/>
              </w:rPr>
            </w:pPr>
            <w:r w:rsidRPr="00605672">
              <w:rPr>
                <w:rFonts w:eastAsia="Times New Roman"/>
                <w:sz w:val="23"/>
                <w:szCs w:val="23"/>
              </w:rPr>
              <w:t>(.11)***</w:t>
            </w:r>
          </w:p>
        </w:tc>
        <w:tc>
          <w:tcPr>
            <w:tcW w:w="1597" w:type="dxa"/>
            <w:shd w:val="clear" w:color="auto" w:fill="auto"/>
            <w:noWrap/>
          </w:tcPr>
          <w:p w14:paraId="71955FDD" w14:textId="77777777" w:rsidR="00B10259" w:rsidRPr="00605672" w:rsidRDefault="00B10259" w:rsidP="004B0C26">
            <w:pPr>
              <w:jc w:val="right"/>
              <w:rPr>
                <w:rFonts w:eastAsia="Times New Roman"/>
                <w:sz w:val="23"/>
                <w:szCs w:val="23"/>
              </w:rPr>
            </w:pPr>
            <w:r w:rsidRPr="00605672">
              <w:rPr>
                <w:rFonts w:eastAsia="Times New Roman"/>
                <w:sz w:val="23"/>
                <w:szCs w:val="23"/>
              </w:rPr>
              <w:t>-.01</w:t>
            </w:r>
          </w:p>
        </w:tc>
        <w:tc>
          <w:tcPr>
            <w:tcW w:w="1134" w:type="dxa"/>
            <w:shd w:val="clear" w:color="auto" w:fill="auto"/>
            <w:noWrap/>
          </w:tcPr>
          <w:p w14:paraId="0A8B950E" w14:textId="77777777" w:rsidR="00B10259" w:rsidRPr="00605672" w:rsidRDefault="00B10259" w:rsidP="004B0C26">
            <w:pPr>
              <w:rPr>
                <w:rFonts w:eastAsia="Times New Roman"/>
                <w:sz w:val="23"/>
                <w:szCs w:val="23"/>
              </w:rPr>
            </w:pPr>
            <w:r w:rsidRPr="00605672">
              <w:rPr>
                <w:rFonts w:eastAsia="Times New Roman"/>
                <w:sz w:val="23"/>
                <w:szCs w:val="23"/>
              </w:rPr>
              <w:t>(.08)</w:t>
            </w:r>
          </w:p>
        </w:tc>
        <w:tc>
          <w:tcPr>
            <w:tcW w:w="1289" w:type="dxa"/>
            <w:shd w:val="clear" w:color="auto" w:fill="auto"/>
            <w:noWrap/>
          </w:tcPr>
          <w:p w14:paraId="27E1DFA0" w14:textId="77777777" w:rsidR="00B10259" w:rsidRPr="00605672" w:rsidRDefault="00B10259" w:rsidP="004B0C26">
            <w:pPr>
              <w:jc w:val="right"/>
              <w:rPr>
                <w:rFonts w:eastAsia="Times New Roman"/>
                <w:sz w:val="23"/>
                <w:szCs w:val="23"/>
              </w:rPr>
            </w:pPr>
            <w:r w:rsidRPr="00605672">
              <w:rPr>
                <w:rFonts w:eastAsia="Times New Roman"/>
                <w:sz w:val="23"/>
                <w:szCs w:val="23"/>
              </w:rPr>
              <w:t>-.16</w:t>
            </w:r>
          </w:p>
        </w:tc>
        <w:tc>
          <w:tcPr>
            <w:tcW w:w="695" w:type="dxa"/>
            <w:shd w:val="clear" w:color="auto" w:fill="auto"/>
            <w:noWrap/>
            <w:vAlign w:val="bottom"/>
          </w:tcPr>
          <w:p w14:paraId="1F4CD70B" w14:textId="77777777" w:rsidR="00B10259" w:rsidRPr="00605672" w:rsidRDefault="00B10259" w:rsidP="004B0C26">
            <w:pPr>
              <w:rPr>
                <w:rFonts w:eastAsia="Times New Roman"/>
                <w:sz w:val="23"/>
                <w:szCs w:val="23"/>
              </w:rPr>
            </w:pPr>
            <w:r w:rsidRPr="00605672">
              <w:rPr>
                <w:rFonts w:eastAsia="Times New Roman"/>
                <w:sz w:val="23"/>
                <w:szCs w:val="23"/>
              </w:rPr>
              <w:t>(.10)</w:t>
            </w:r>
          </w:p>
        </w:tc>
      </w:tr>
      <w:tr w:rsidR="00B10259" w:rsidRPr="00605672" w14:paraId="2EFEBFC2" w14:textId="77777777" w:rsidTr="00727D37">
        <w:trPr>
          <w:cantSplit/>
          <w:trHeight w:hRule="exact" w:val="284"/>
          <w:jc w:val="center"/>
        </w:trPr>
        <w:tc>
          <w:tcPr>
            <w:tcW w:w="5246" w:type="dxa"/>
            <w:shd w:val="clear" w:color="auto" w:fill="auto"/>
            <w:noWrap/>
            <w:hideMark/>
          </w:tcPr>
          <w:p w14:paraId="476D19B3" w14:textId="77777777" w:rsidR="00B10259" w:rsidRPr="00605672" w:rsidRDefault="00B10259" w:rsidP="004B0C26">
            <w:pPr>
              <w:rPr>
                <w:rFonts w:eastAsia="Times New Roman"/>
                <w:sz w:val="23"/>
                <w:szCs w:val="23"/>
              </w:rPr>
            </w:pPr>
            <w:r w:rsidRPr="00605672">
              <w:rPr>
                <w:rFonts w:eastAsia="Times New Roman"/>
                <w:sz w:val="23"/>
                <w:szCs w:val="23"/>
              </w:rPr>
              <w:t>Supplier replaceability</w:t>
            </w:r>
          </w:p>
        </w:tc>
        <w:tc>
          <w:tcPr>
            <w:tcW w:w="1510" w:type="dxa"/>
            <w:shd w:val="clear" w:color="auto" w:fill="auto"/>
            <w:noWrap/>
          </w:tcPr>
          <w:p w14:paraId="3F7FB6A1" w14:textId="77777777" w:rsidR="00B10259" w:rsidRPr="00605672" w:rsidRDefault="00B10259" w:rsidP="004B0C26">
            <w:pPr>
              <w:jc w:val="right"/>
              <w:rPr>
                <w:rFonts w:eastAsia="Times New Roman"/>
                <w:sz w:val="23"/>
                <w:szCs w:val="23"/>
              </w:rPr>
            </w:pPr>
            <w:r w:rsidRPr="00605672">
              <w:rPr>
                <w:rFonts w:eastAsia="Times New Roman"/>
                <w:sz w:val="23"/>
                <w:szCs w:val="23"/>
              </w:rPr>
              <w:t>-.12</w:t>
            </w:r>
          </w:p>
        </w:tc>
        <w:tc>
          <w:tcPr>
            <w:tcW w:w="1100" w:type="dxa"/>
            <w:shd w:val="clear" w:color="auto" w:fill="auto"/>
            <w:noWrap/>
          </w:tcPr>
          <w:p w14:paraId="218E06B9" w14:textId="77777777" w:rsidR="00B10259" w:rsidRPr="00605672" w:rsidRDefault="00B10259" w:rsidP="004B0C26">
            <w:pPr>
              <w:rPr>
                <w:rFonts w:eastAsia="Times New Roman"/>
                <w:sz w:val="23"/>
                <w:szCs w:val="23"/>
              </w:rPr>
            </w:pPr>
            <w:r w:rsidRPr="00605672">
              <w:rPr>
                <w:rFonts w:eastAsia="Times New Roman"/>
                <w:sz w:val="23"/>
                <w:szCs w:val="23"/>
              </w:rPr>
              <w:t>(.09)</w:t>
            </w:r>
          </w:p>
        </w:tc>
        <w:tc>
          <w:tcPr>
            <w:tcW w:w="1597" w:type="dxa"/>
            <w:shd w:val="clear" w:color="auto" w:fill="auto"/>
            <w:noWrap/>
          </w:tcPr>
          <w:p w14:paraId="60A49E94" w14:textId="77777777" w:rsidR="00B10259" w:rsidRPr="00605672" w:rsidRDefault="00B10259" w:rsidP="004B0C26">
            <w:pPr>
              <w:jc w:val="right"/>
              <w:rPr>
                <w:rFonts w:eastAsia="Times New Roman"/>
                <w:sz w:val="23"/>
                <w:szCs w:val="23"/>
              </w:rPr>
            </w:pPr>
            <w:r w:rsidRPr="00605672">
              <w:rPr>
                <w:rFonts w:eastAsia="Times New Roman"/>
                <w:sz w:val="23"/>
                <w:szCs w:val="23"/>
              </w:rPr>
              <w:t>.07</w:t>
            </w:r>
          </w:p>
        </w:tc>
        <w:tc>
          <w:tcPr>
            <w:tcW w:w="1134" w:type="dxa"/>
            <w:shd w:val="clear" w:color="auto" w:fill="auto"/>
            <w:noWrap/>
          </w:tcPr>
          <w:p w14:paraId="26647686" w14:textId="77777777" w:rsidR="00B10259" w:rsidRPr="00605672" w:rsidRDefault="00B10259" w:rsidP="004B0C26">
            <w:pPr>
              <w:rPr>
                <w:rFonts w:eastAsia="Times New Roman"/>
                <w:sz w:val="23"/>
                <w:szCs w:val="23"/>
              </w:rPr>
            </w:pPr>
            <w:r w:rsidRPr="00605672">
              <w:rPr>
                <w:rFonts w:eastAsia="Times New Roman"/>
                <w:sz w:val="23"/>
                <w:szCs w:val="23"/>
              </w:rPr>
              <w:t>(.07)</w:t>
            </w:r>
          </w:p>
        </w:tc>
        <w:tc>
          <w:tcPr>
            <w:tcW w:w="1289" w:type="dxa"/>
            <w:shd w:val="clear" w:color="auto" w:fill="auto"/>
            <w:noWrap/>
          </w:tcPr>
          <w:p w14:paraId="7723B596" w14:textId="77777777" w:rsidR="00B10259" w:rsidRPr="00605672" w:rsidRDefault="00B10259" w:rsidP="004B0C26">
            <w:pPr>
              <w:jc w:val="right"/>
              <w:rPr>
                <w:rFonts w:eastAsia="Times New Roman"/>
                <w:sz w:val="23"/>
                <w:szCs w:val="23"/>
              </w:rPr>
            </w:pPr>
            <w:r w:rsidRPr="00605672">
              <w:rPr>
                <w:rFonts w:eastAsia="Times New Roman"/>
                <w:sz w:val="23"/>
                <w:szCs w:val="23"/>
              </w:rPr>
              <w:t>-.02</w:t>
            </w:r>
          </w:p>
        </w:tc>
        <w:tc>
          <w:tcPr>
            <w:tcW w:w="695" w:type="dxa"/>
            <w:shd w:val="clear" w:color="auto" w:fill="auto"/>
            <w:noWrap/>
            <w:vAlign w:val="bottom"/>
          </w:tcPr>
          <w:p w14:paraId="2FFA4390" w14:textId="77777777" w:rsidR="00B10259" w:rsidRPr="00605672" w:rsidRDefault="00B10259" w:rsidP="004B0C26">
            <w:pPr>
              <w:rPr>
                <w:rFonts w:eastAsia="Times New Roman"/>
                <w:sz w:val="23"/>
                <w:szCs w:val="23"/>
              </w:rPr>
            </w:pPr>
            <w:r w:rsidRPr="00605672">
              <w:rPr>
                <w:rFonts w:eastAsia="Times New Roman"/>
                <w:sz w:val="23"/>
                <w:szCs w:val="23"/>
              </w:rPr>
              <w:t>(.08)</w:t>
            </w:r>
          </w:p>
        </w:tc>
      </w:tr>
      <w:tr w:rsidR="00B10259" w:rsidRPr="00605672" w14:paraId="7C7B64F7" w14:textId="77777777" w:rsidTr="00727D37">
        <w:trPr>
          <w:cantSplit/>
          <w:trHeight w:hRule="exact" w:val="284"/>
          <w:jc w:val="center"/>
        </w:trPr>
        <w:tc>
          <w:tcPr>
            <w:tcW w:w="5246" w:type="dxa"/>
            <w:shd w:val="clear" w:color="auto" w:fill="auto"/>
            <w:noWrap/>
          </w:tcPr>
          <w:p w14:paraId="7E0F4426" w14:textId="77777777" w:rsidR="00B10259" w:rsidRPr="00605672" w:rsidRDefault="00B10259" w:rsidP="004B0C26">
            <w:pPr>
              <w:rPr>
                <w:rFonts w:eastAsia="Times New Roman"/>
                <w:sz w:val="23"/>
                <w:szCs w:val="23"/>
              </w:rPr>
            </w:pPr>
            <w:r w:rsidRPr="00605672">
              <w:rPr>
                <w:rFonts w:eastAsia="Times New Roman"/>
                <w:sz w:val="23"/>
                <w:szCs w:val="23"/>
              </w:rPr>
              <w:t>Order unpredictability</w:t>
            </w:r>
          </w:p>
        </w:tc>
        <w:tc>
          <w:tcPr>
            <w:tcW w:w="1510" w:type="dxa"/>
            <w:shd w:val="clear" w:color="auto" w:fill="auto"/>
            <w:noWrap/>
          </w:tcPr>
          <w:p w14:paraId="2AB65B5E" w14:textId="77777777" w:rsidR="00B10259" w:rsidRPr="00605672" w:rsidRDefault="00B10259" w:rsidP="004B0C26">
            <w:pPr>
              <w:jc w:val="right"/>
              <w:rPr>
                <w:rStyle w:val="CommentReference"/>
                <w:sz w:val="23"/>
                <w:szCs w:val="23"/>
                <w:lang w:eastAsia="en-AU"/>
              </w:rPr>
            </w:pPr>
            <w:r w:rsidRPr="00605672">
              <w:rPr>
                <w:rFonts w:eastAsia="Times New Roman"/>
                <w:sz w:val="23"/>
                <w:szCs w:val="23"/>
              </w:rPr>
              <w:t>.22</w:t>
            </w:r>
          </w:p>
          <w:p w14:paraId="30DBFED7" w14:textId="77777777" w:rsidR="00B10259" w:rsidRPr="00605672" w:rsidRDefault="00B10259" w:rsidP="004B0C26">
            <w:pPr>
              <w:jc w:val="right"/>
              <w:rPr>
                <w:rFonts w:eastAsia="Times New Roman"/>
                <w:sz w:val="23"/>
                <w:szCs w:val="23"/>
              </w:rPr>
            </w:pPr>
          </w:p>
        </w:tc>
        <w:tc>
          <w:tcPr>
            <w:tcW w:w="1100" w:type="dxa"/>
            <w:shd w:val="clear" w:color="auto" w:fill="auto"/>
            <w:noWrap/>
          </w:tcPr>
          <w:p w14:paraId="02CC41D8" w14:textId="77777777" w:rsidR="00B10259" w:rsidRPr="00605672" w:rsidRDefault="00B10259" w:rsidP="004B0C26">
            <w:pPr>
              <w:rPr>
                <w:rFonts w:eastAsia="Times New Roman"/>
                <w:sz w:val="23"/>
                <w:szCs w:val="23"/>
              </w:rPr>
            </w:pPr>
            <w:r w:rsidRPr="00605672">
              <w:rPr>
                <w:rFonts w:eastAsia="Times New Roman"/>
                <w:sz w:val="23"/>
                <w:szCs w:val="23"/>
              </w:rPr>
              <w:t>(.10)**</w:t>
            </w:r>
          </w:p>
        </w:tc>
        <w:tc>
          <w:tcPr>
            <w:tcW w:w="1597" w:type="dxa"/>
            <w:shd w:val="clear" w:color="auto" w:fill="auto"/>
            <w:noWrap/>
          </w:tcPr>
          <w:p w14:paraId="7106B6BC" w14:textId="77777777" w:rsidR="00B10259" w:rsidRPr="00605672" w:rsidRDefault="00B10259" w:rsidP="004B0C26">
            <w:pPr>
              <w:jc w:val="right"/>
              <w:rPr>
                <w:rFonts w:eastAsia="Times New Roman"/>
                <w:sz w:val="23"/>
                <w:szCs w:val="23"/>
              </w:rPr>
            </w:pPr>
            <w:r w:rsidRPr="00605672">
              <w:rPr>
                <w:rFonts w:eastAsia="Times New Roman"/>
                <w:sz w:val="23"/>
                <w:szCs w:val="23"/>
              </w:rPr>
              <w:t>-.04</w:t>
            </w:r>
          </w:p>
        </w:tc>
        <w:tc>
          <w:tcPr>
            <w:tcW w:w="1134" w:type="dxa"/>
            <w:shd w:val="clear" w:color="auto" w:fill="auto"/>
            <w:noWrap/>
          </w:tcPr>
          <w:p w14:paraId="299D3E24" w14:textId="77777777" w:rsidR="00B10259" w:rsidRPr="00605672" w:rsidRDefault="00B10259" w:rsidP="004B0C26">
            <w:pPr>
              <w:rPr>
                <w:rFonts w:eastAsia="Times New Roman"/>
                <w:sz w:val="23"/>
                <w:szCs w:val="23"/>
              </w:rPr>
            </w:pPr>
            <w:r w:rsidRPr="00605672">
              <w:rPr>
                <w:rFonts w:eastAsia="Times New Roman"/>
                <w:sz w:val="23"/>
                <w:szCs w:val="23"/>
              </w:rPr>
              <w:t>(.09)</w:t>
            </w:r>
          </w:p>
        </w:tc>
        <w:tc>
          <w:tcPr>
            <w:tcW w:w="1289" w:type="dxa"/>
            <w:shd w:val="clear" w:color="auto" w:fill="auto"/>
            <w:noWrap/>
          </w:tcPr>
          <w:p w14:paraId="1065AE97" w14:textId="77777777" w:rsidR="00B10259" w:rsidRPr="00605672" w:rsidRDefault="00B10259" w:rsidP="004B0C26">
            <w:pPr>
              <w:jc w:val="right"/>
              <w:rPr>
                <w:rFonts w:eastAsia="Times New Roman"/>
                <w:sz w:val="23"/>
                <w:szCs w:val="23"/>
              </w:rPr>
            </w:pPr>
            <w:r w:rsidRPr="00605672">
              <w:rPr>
                <w:rFonts w:eastAsia="Times New Roman"/>
                <w:sz w:val="23"/>
                <w:szCs w:val="23"/>
              </w:rPr>
              <w:t>-.10</w:t>
            </w:r>
          </w:p>
        </w:tc>
        <w:tc>
          <w:tcPr>
            <w:tcW w:w="695" w:type="dxa"/>
            <w:shd w:val="clear" w:color="auto" w:fill="auto"/>
            <w:noWrap/>
            <w:vAlign w:val="bottom"/>
          </w:tcPr>
          <w:p w14:paraId="27E7A395" w14:textId="77777777" w:rsidR="00B10259" w:rsidRPr="00605672" w:rsidRDefault="00B10259" w:rsidP="004B0C26">
            <w:pPr>
              <w:rPr>
                <w:rFonts w:eastAsia="Times New Roman"/>
                <w:sz w:val="23"/>
                <w:szCs w:val="23"/>
              </w:rPr>
            </w:pPr>
            <w:r w:rsidRPr="00605672">
              <w:rPr>
                <w:rFonts w:eastAsia="Times New Roman"/>
                <w:sz w:val="23"/>
                <w:szCs w:val="23"/>
              </w:rPr>
              <w:t>(.12)</w:t>
            </w:r>
          </w:p>
        </w:tc>
      </w:tr>
      <w:tr w:rsidR="00B10259" w:rsidRPr="00605672" w14:paraId="6D3804B3" w14:textId="77777777" w:rsidTr="00727D37">
        <w:trPr>
          <w:cantSplit/>
          <w:trHeight w:hRule="exact" w:val="284"/>
          <w:jc w:val="center"/>
        </w:trPr>
        <w:tc>
          <w:tcPr>
            <w:tcW w:w="5246" w:type="dxa"/>
            <w:shd w:val="clear" w:color="auto" w:fill="auto"/>
            <w:noWrap/>
          </w:tcPr>
          <w:p w14:paraId="24DD4FC5" w14:textId="77777777" w:rsidR="00B10259" w:rsidRPr="00605672" w:rsidRDefault="00B10259" w:rsidP="004B0C26">
            <w:pPr>
              <w:rPr>
                <w:rFonts w:eastAsia="Times New Roman"/>
                <w:sz w:val="23"/>
                <w:szCs w:val="23"/>
              </w:rPr>
            </w:pPr>
            <w:r w:rsidRPr="00605672">
              <w:rPr>
                <w:rFonts w:eastAsia="Times New Roman"/>
                <w:sz w:val="23"/>
                <w:szCs w:val="23"/>
              </w:rPr>
              <w:t>Demand unpredictability</w:t>
            </w:r>
          </w:p>
        </w:tc>
        <w:tc>
          <w:tcPr>
            <w:tcW w:w="1510" w:type="dxa"/>
            <w:shd w:val="clear" w:color="auto" w:fill="auto"/>
            <w:noWrap/>
          </w:tcPr>
          <w:p w14:paraId="5949EBBE" w14:textId="77777777" w:rsidR="00B10259" w:rsidRPr="00605672" w:rsidRDefault="00B10259" w:rsidP="004B0C26">
            <w:pPr>
              <w:jc w:val="right"/>
              <w:rPr>
                <w:rFonts w:eastAsia="Times New Roman"/>
                <w:sz w:val="23"/>
                <w:szCs w:val="23"/>
              </w:rPr>
            </w:pPr>
          </w:p>
        </w:tc>
        <w:tc>
          <w:tcPr>
            <w:tcW w:w="1100" w:type="dxa"/>
            <w:shd w:val="clear" w:color="auto" w:fill="auto"/>
            <w:noWrap/>
          </w:tcPr>
          <w:p w14:paraId="03E5B430" w14:textId="77777777" w:rsidR="00B10259" w:rsidRPr="00605672" w:rsidRDefault="00B10259" w:rsidP="004B0C26">
            <w:pPr>
              <w:rPr>
                <w:rFonts w:eastAsia="Times New Roman"/>
                <w:sz w:val="23"/>
                <w:szCs w:val="23"/>
              </w:rPr>
            </w:pPr>
          </w:p>
        </w:tc>
        <w:tc>
          <w:tcPr>
            <w:tcW w:w="1597" w:type="dxa"/>
            <w:shd w:val="clear" w:color="auto" w:fill="auto"/>
            <w:noWrap/>
          </w:tcPr>
          <w:p w14:paraId="1E3E58F3" w14:textId="77777777" w:rsidR="00B10259" w:rsidRPr="00605672" w:rsidRDefault="00B10259" w:rsidP="004B0C26">
            <w:pPr>
              <w:jc w:val="right"/>
              <w:rPr>
                <w:rFonts w:eastAsia="Times New Roman"/>
                <w:sz w:val="23"/>
                <w:szCs w:val="23"/>
              </w:rPr>
            </w:pPr>
            <w:r w:rsidRPr="00605672">
              <w:rPr>
                <w:rFonts w:eastAsia="Times New Roman"/>
                <w:sz w:val="23"/>
                <w:szCs w:val="23"/>
              </w:rPr>
              <w:t>.14</w:t>
            </w:r>
          </w:p>
        </w:tc>
        <w:tc>
          <w:tcPr>
            <w:tcW w:w="1134" w:type="dxa"/>
            <w:shd w:val="clear" w:color="auto" w:fill="auto"/>
            <w:noWrap/>
          </w:tcPr>
          <w:p w14:paraId="58E72F01" w14:textId="77777777" w:rsidR="00B10259" w:rsidRPr="00605672" w:rsidRDefault="00B10259" w:rsidP="004B0C26">
            <w:pPr>
              <w:rPr>
                <w:rFonts w:eastAsia="Times New Roman"/>
                <w:sz w:val="23"/>
                <w:szCs w:val="23"/>
              </w:rPr>
            </w:pPr>
            <w:r w:rsidRPr="00605672">
              <w:rPr>
                <w:rFonts w:eastAsia="Times New Roman"/>
                <w:sz w:val="23"/>
                <w:szCs w:val="23"/>
              </w:rPr>
              <w:t>(.06)**</w:t>
            </w:r>
          </w:p>
        </w:tc>
        <w:tc>
          <w:tcPr>
            <w:tcW w:w="1289" w:type="dxa"/>
            <w:shd w:val="clear" w:color="auto" w:fill="auto"/>
            <w:noWrap/>
          </w:tcPr>
          <w:p w14:paraId="38031334" w14:textId="77777777" w:rsidR="00B10259" w:rsidRPr="00605672" w:rsidRDefault="00B10259" w:rsidP="004B0C26">
            <w:pPr>
              <w:jc w:val="right"/>
              <w:rPr>
                <w:rFonts w:eastAsia="Times New Roman"/>
                <w:sz w:val="23"/>
                <w:szCs w:val="23"/>
              </w:rPr>
            </w:pPr>
            <w:r w:rsidRPr="00605672">
              <w:rPr>
                <w:rFonts w:eastAsia="Times New Roman"/>
                <w:sz w:val="23"/>
                <w:szCs w:val="23"/>
              </w:rPr>
              <w:t>.00</w:t>
            </w:r>
          </w:p>
        </w:tc>
        <w:tc>
          <w:tcPr>
            <w:tcW w:w="695" w:type="dxa"/>
            <w:shd w:val="clear" w:color="auto" w:fill="auto"/>
            <w:noWrap/>
            <w:vAlign w:val="bottom"/>
          </w:tcPr>
          <w:p w14:paraId="6904838F" w14:textId="77777777" w:rsidR="00B10259" w:rsidRPr="00605672" w:rsidRDefault="00B10259" w:rsidP="004B0C26">
            <w:pPr>
              <w:rPr>
                <w:rFonts w:eastAsia="Times New Roman"/>
                <w:sz w:val="23"/>
                <w:szCs w:val="23"/>
              </w:rPr>
            </w:pPr>
            <w:r w:rsidRPr="00605672">
              <w:rPr>
                <w:rFonts w:eastAsia="Times New Roman"/>
                <w:sz w:val="23"/>
                <w:szCs w:val="23"/>
              </w:rPr>
              <w:t>(.07)</w:t>
            </w:r>
          </w:p>
        </w:tc>
      </w:tr>
      <w:tr w:rsidR="00B10259" w:rsidRPr="00605672" w14:paraId="614235E7" w14:textId="77777777" w:rsidTr="00727D37">
        <w:trPr>
          <w:cantSplit/>
          <w:trHeight w:hRule="exact" w:val="284"/>
          <w:jc w:val="center"/>
        </w:trPr>
        <w:tc>
          <w:tcPr>
            <w:tcW w:w="5246" w:type="dxa"/>
            <w:shd w:val="clear" w:color="auto" w:fill="auto"/>
            <w:noWrap/>
          </w:tcPr>
          <w:p w14:paraId="19193B9E" w14:textId="77777777" w:rsidR="00B10259" w:rsidRPr="00605672" w:rsidRDefault="00B10259" w:rsidP="004B0C26">
            <w:pPr>
              <w:rPr>
                <w:rFonts w:eastAsia="Times New Roman"/>
                <w:sz w:val="23"/>
                <w:szCs w:val="23"/>
              </w:rPr>
            </w:pPr>
            <w:r w:rsidRPr="00605672">
              <w:rPr>
                <w:rFonts w:eastAsia="Times New Roman"/>
                <w:sz w:val="23"/>
                <w:szCs w:val="23"/>
              </w:rPr>
              <w:t>Demand uncertainty</w:t>
            </w:r>
          </w:p>
        </w:tc>
        <w:tc>
          <w:tcPr>
            <w:tcW w:w="1510" w:type="dxa"/>
            <w:shd w:val="clear" w:color="auto" w:fill="auto"/>
            <w:noWrap/>
          </w:tcPr>
          <w:p w14:paraId="7810E826" w14:textId="77777777" w:rsidR="00B10259" w:rsidRPr="00605672" w:rsidRDefault="00B10259" w:rsidP="004B0C26">
            <w:pPr>
              <w:jc w:val="right"/>
              <w:rPr>
                <w:rFonts w:eastAsia="Times New Roman"/>
                <w:sz w:val="23"/>
                <w:szCs w:val="23"/>
              </w:rPr>
            </w:pPr>
          </w:p>
        </w:tc>
        <w:tc>
          <w:tcPr>
            <w:tcW w:w="1100" w:type="dxa"/>
            <w:shd w:val="clear" w:color="auto" w:fill="auto"/>
            <w:noWrap/>
          </w:tcPr>
          <w:p w14:paraId="3BA6EC25" w14:textId="77777777" w:rsidR="00B10259" w:rsidRPr="00605672" w:rsidRDefault="00B10259" w:rsidP="004B0C26">
            <w:pPr>
              <w:rPr>
                <w:rFonts w:eastAsia="Times New Roman"/>
                <w:sz w:val="23"/>
                <w:szCs w:val="23"/>
              </w:rPr>
            </w:pPr>
          </w:p>
        </w:tc>
        <w:tc>
          <w:tcPr>
            <w:tcW w:w="1597" w:type="dxa"/>
            <w:shd w:val="clear" w:color="auto" w:fill="auto"/>
            <w:noWrap/>
          </w:tcPr>
          <w:p w14:paraId="0DBE287A" w14:textId="77777777" w:rsidR="00B10259" w:rsidRPr="00605672" w:rsidRDefault="00B10259" w:rsidP="004B0C26">
            <w:pPr>
              <w:jc w:val="right"/>
              <w:rPr>
                <w:rFonts w:eastAsia="Times New Roman"/>
                <w:sz w:val="23"/>
                <w:szCs w:val="23"/>
              </w:rPr>
            </w:pPr>
            <w:r w:rsidRPr="00605672">
              <w:rPr>
                <w:rFonts w:eastAsia="Times New Roman"/>
                <w:sz w:val="23"/>
                <w:szCs w:val="23"/>
              </w:rPr>
              <w:t>-.01</w:t>
            </w:r>
          </w:p>
        </w:tc>
        <w:tc>
          <w:tcPr>
            <w:tcW w:w="1134" w:type="dxa"/>
            <w:shd w:val="clear" w:color="auto" w:fill="auto"/>
            <w:noWrap/>
          </w:tcPr>
          <w:p w14:paraId="53238C69" w14:textId="77777777" w:rsidR="00B10259" w:rsidRPr="00605672" w:rsidRDefault="00B10259" w:rsidP="004B0C26">
            <w:pPr>
              <w:rPr>
                <w:rFonts w:eastAsia="Times New Roman"/>
                <w:sz w:val="23"/>
                <w:szCs w:val="23"/>
              </w:rPr>
            </w:pPr>
            <w:r w:rsidRPr="00605672">
              <w:rPr>
                <w:rFonts w:eastAsia="Times New Roman"/>
                <w:sz w:val="23"/>
                <w:szCs w:val="23"/>
              </w:rPr>
              <w:t>(.08)</w:t>
            </w:r>
          </w:p>
        </w:tc>
        <w:tc>
          <w:tcPr>
            <w:tcW w:w="1289" w:type="dxa"/>
            <w:shd w:val="clear" w:color="auto" w:fill="auto"/>
            <w:noWrap/>
          </w:tcPr>
          <w:p w14:paraId="15CE8BE9" w14:textId="77777777" w:rsidR="00B10259" w:rsidRPr="00605672" w:rsidRDefault="00B10259" w:rsidP="004B0C26">
            <w:pPr>
              <w:jc w:val="right"/>
              <w:rPr>
                <w:rFonts w:eastAsia="Times New Roman"/>
                <w:sz w:val="23"/>
                <w:szCs w:val="23"/>
              </w:rPr>
            </w:pPr>
            <w:r w:rsidRPr="00605672">
              <w:rPr>
                <w:rFonts w:eastAsia="Times New Roman"/>
                <w:sz w:val="23"/>
                <w:szCs w:val="23"/>
              </w:rPr>
              <w:t>-.10</w:t>
            </w:r>
          </w:p>
        </w:tc>
        <w:tc>
          <w:tcPr>
            <w:tcW w:w="695" w:type="dxa"/>
            <w:shd w:val="clear" w:color="auto" w:fill="auto"/>
            <w:noWrap/>
            <w:vAlign w:val="bottom"/>
          </w:tcPr>
          <w:p w14:paraId="2FDA3579" w14:textId="77777777" w:rsidR="00B10259" w:rsidRPr="00605672" w:rsidRDefault="00B10259" w:rsidP="004B0C26">
            <w:pPr>
              <w:rPr>
                <w:rFonts w:eastAsia="Times New Roman"/>
                <w:sz w:val="23"/>
                <w:szCs w:val="23"/>
              </w:rPr>
            </w:pPr>
            <w:r w:rsidRPr="00605672">
              <w:rPr>
                <w:rFonts w:eastAsia="Times New Roman"/>
                <w:sz w:val="23"/>
                <w:szCs w:val="23"/>
              </w:rPr>
              <w:t>(.10)</w:t>
            </w:r>
          </w:p>
        </w:tc>
      </w:tr>
      <w:tr w:rsidR="00B10259" w:rsidRPr="00605672" w14:paraId="031B456B" w14:textId="77777777" w:rsidTr="00727D37">
        <w:trPr>
          <w:cantSplit/>
          <w:trHeight w:hRule="exact" w:val="284"/>
          <w:jc w:val="center"/>
        </w:trPr>
        <w:tc>
          <w:tcPr>
            <w:tcW w:w="5246" w:type="dxa"/>
            <w:shd w:val="clear" w:color="auto" w:fill="auto"/>
            <w:noWrap/>
          </w:tcPr>
          <w:p w14:paraId="441ABBAE" w14:textId="77777777" w:rsidR="00B10259" w:rsidRPr="00605672" w:rsidRDefault="00B10259" w:rsidP="002B7691">
            <w:pPr>
              <w:rPr>
                <w:rFonts w:eastAsia="Times New Roman"/>
                <w:sz w:val="23"/>
                <w:szCs w:val="23"/>
              </w:rPr>
            </w:pPr>
            <w:r w:rsidRPr="00605672">
              <w:rPr>
                <w:rFonts w:eastAsia="Times New Roman"/>
                <w:sz w:val="23"/>
                <w:szCs w:val="23"/>
              </w:rPr>
              <w:t xml:space="preserve">Supplier </w:t>
            </w:r>
            <w:r w:rsidR="00033918" w:rsidRPr="00605672">
              <w:rPr>
                <w:rFonts w:eastAsia="Times New Roman"/>
                <w:sz w:val="23"/>
                <w:szCs w:val="23"/>
              </w:rPr>
              <w:t>competition</w:t>
            </w:r>
          </w:p>
        </w:tc>
        <w:tc>
          <w:tcPr>
            <w:tcW w:w="1510" w:type="dxa"/>
            <w:shd w:val="clear" w:color="auto" w:fill="auto"/>
            <w:noWrap/>
          </w:tcPr>
          <w:p w14:paraId="509ED71B" w14:textId="77777777" w:rsidR="00B10259" w:rsidRPr="00605672" w:rsidRDefault="00B10259" w:rsidP="004B0C26">
            <w:pPr>
              <w:jc w:val="right"/>
              <w:rPr>
                <w:rFonts w:eastAsia="Times New Roman"/>
                <w:sz w:val="23"/>
                <w:szCs w:val="23"/>
              </w:rPr>
            </w:pPr>
          </w:p>
        </w:tc>
        <w:tc>
          <w:tcPr>
            <w:tcW w:w="1100" w:type="dxa"/>
            <w:shd w:val="clear" w:color="auto" w:fill="auto"/>
            <w:noWrap/>
          </w:tcPr>
          <w:p w14:paraId="78AEF8ED" w14:textId="77777777" w:rsidR="00B10259" w:rsidRPr="00605672" w:rsidRDefault="00B10259" w:rsidP="004B0C26">
            <w:pPr>
              <w:rPr>
                <w:rFonts w:eastAsia="Times New Roman"/>
                <w:sz w:val="23"/>
                <w:szCs w:val="23"/>
              </w:rPr>
            </w:pPr>
          </w:p>
        </w:tc>
        <w:tc>
          <w:tcPr>
            <w:tcW w:w="1597" w:type="dxa"/>
            <w:shd w:val="clear" w:color="auto" w:fill="auto"/>
            <w:noWrap/>
          </w:tcPr>
          <w:p w14:paraId="6B909F4B" w14:textId="77777777" w:rsidR="00B10259" w:rsidRPr="00605672" w:rsidRDefault="00B10259" w:rsidP="004B0C26">
            <w:pPr>
              <w:jc w:val="right"/>
              <w:rPr>
                <w:rFonts w:eastAsia="Times New Roman"/>
                <w:sz w:val="23"/>
                <w:szCs w:val="23"/>
              </w:rPr>
            </w:pPr>
            <w:r w:rsidRPr="00605672">
              <w:rPr>
                <w:rFonts w:eastAsia="Times New Roman"/>
                <w:sz w:val="23"/>
                <w:szCs w:val="23"/>
              </w:rPr>
              <w:t>-.04</w:t>
            </w:r>
          </w:p>
        </w:tc>
        <w:tc>
          <w:tcPr>
            <w:tcW w:w="1134" w:type="dxa"/>
            <w:shd w:val="clear" w:color="auto" w:fill="auto"/>
            <w:noWrap/>
          </w:tcPr>
          <w:p w14:paraId="263C028C" w14:textId="77777777" w:rsidR="00B10259" w:rsidRPr="00605672" w:rsidRDefault="00B10259" w:rsidP="004B0C26">
            <w:pPr>
              <w:rPr>
                <w:rFonts w:eastAsia="Times New Roman"/>
                <w:sz w:val="23"/>
                <w:szCs w:val="23"/>
              </w:rPr>
            </w:pPr>
            <w:r w:rsidRPr="00605672">
              <w:rPr>
                <w:rFonts w:eastAsia="Times New Roman"/>
                <w:sz w:val="23"/>
                <w:szCs w:val="23"/>
              </w:rPr>
              <w:t>(.07)</w:t>
            </w:r>
          </w:p>
        </w:tc>
        <w:tc>
          <w:tcPr>
            <w:tcW w:w="1289" w:type="dxa"/>
            <w:shd w:val="clear" w:color="auto" w:fill="auto"/>
            <w:noWrap/>
          </w:tcPr>
          <w:p w14:paraId="673A89E7" w14:textId="77777777" w:rsidR="00B10259" w:rsidRPr="00605672" w:rsidRDefault="00B10259" w:rsidP="004B0C26">
            <w:pPr>
              <w:jc w:val="right"/>
              <w:rPr>
                <w:rFonts w:eastAsia="Times New Roman"/>
                <w:sz w:val="23"/>
                <w:szCs w:val="23"/>
              </w:rPr>
            </w:pPr>
            <w:r w:rsidRPr="00605672">
              <w:rPr>
                <w:rFonts w:eastAsia="Times New Roman"/>
                <w:sz w:val="23"/>
                <w:szCs w:val="23"/>
              </w:rPr>
              <w:t>.15</w:t>
            </w:r>
          </w:p>
        </w:tc>
        <w:tc>
          <w:tcPr>
            <w:tcW w:w="695" w:type="dxa"/>
            <w:shd w:val="clear" w:color="auto" w:fill="auto"/>
            <w:noWrap/>
            <w:vAlign w:val="bottom"/>
          </w:tcPr>
          <w:p w14:paraId="4BC942FA" w14:textId="77777777" w:rsidR="00B10259" w:rsidRPr="00605672" w:rsidRDefault="00B10259" w:rsidP="004B0C26">
            <w:pPr>
              <w:rPr>
                <w:rFonts w:eastAsia="Times New Roman"/>
                <w:sz w:val="23"/>
                <w:szCs w:val="23"/>
              </w:rPr>
            </w:pPr>
            <w:r w:rsidRPr="00605672">
              <w:rPr>
                <w:rFonts w:eastAsia="Times New Roman"/>
                <w:sz w:val="23"/>
                <w:szCs w:val="23"/>
              </w:rPr>
              <w:t>(.10)</w:t>
            </w:r>
          </w:p>
        </w:tc>
      </w:tr>
      <w:tr w:rsidR="00B10259" w:rsidRPr="00605672" w14:paraId="7E2FB723" w14:textId="77777777" w:rsidTr="00727D37">
        <w:trPr>
          <w:cantSplit/>
          <w:trHeight w:hRule="exact" w:val="284"/>
          <w:jc w:val="center"/>
        </w:trPr>
        <w:tc>
          <w:tcPr>
            <w:tcW w:w="5246" w:type="dxa"/>
            <w:shd w:val="clear" w:color="auto" w:fill="auto"/>
            <w:noWrap/>
          </w:tcPr>
          <w:p w14:paraId="4842D01E" w14:textId="77777777" w:rsidR="00B10259" w:rsidRPr="00605672" w:rsidRDefault="00B10259" w:rsidP="002B7691">
            <w:pPr>
              <w:rPr>
                <w:rFonts w:eastAsia="Times New Roman"/>
                <w:sz w:val="23"/>
                <w:szCs w:val="23"/>
              </w:rPr>
            </w:pPr>
            <w:r w:rsidRPr="00605672">
              <w:rPr>
                <w:rFonts w:eastAsia="Times New Roman"/>
                <w:sz w:val="23"/>
                <w:szCs w:val="23"/>
              </w:rPr>
              <w:t xml:space="preserve">Reseller </w:t>
            </w:r>
            <w:r w:rsidR="00033918" w:rsidRPr="00605672">
              <w:rPr>
                <w:rFonts w:eastAsia="Times New Roman"/>
                <w:sz w:val="23"/>
                <w:szCs w:val="23"/>
              </w:rPr>
              <w:t>competition</w:t>
            </w:r>
          </w:p>
        </w:tc>
        <w:tc>
          <w:tcPr>
            <w:tcW w:w="1510" w:type="dxa"/>
            <w:shd w:val="clear" w:color="auto" w:fill="auto"/>
            <w:noWrap/>
          </w:tcPr>
          <w:p w14:paraId="4636FC39" w14:textId="77777777" w:rsidR="00B10259" w:rsidRPr="00605672" w:rsidRDefault="00B10259" w:rsidP="004B0C26">
            <w:pPr>
              <w:jc w:val="right"/>
              <w:rPr>
                <w:rFonts w:eastAsia="Times New Roman"/>
                <w:sz w:val="23"/>
                <w:szCs w:val="23"/>
              </w:rPr>
            </w:pPr>
          </w:p>
        </w:tc>
        <w:tc>
          <w:tcPr>
            <w:tcW w:w="1100" w:type="dxa"/>
            <w:shd w:val="clear" w:color="auto" w:fill="auto"/>
            <w:noWrap/>
          </w:tcPr>
          <w:p w14:paraId="4676E1B6" w14:textId="77777777" w:rsidR="00B10259" w:rsidRPr="00605672" w:rsidRDefault="00B10259" w:rsidP="004B0C26">
            <w:pPr>
              <w:rPr>
                <w:rFonts w:eastAsia="Times New Roman"/>
                <w:sz w:val="23"/>
                <w:szCs w:val="23"/>
              </w:rPr>
            </w:pPr>
          </w:p>
        </w:tc>
        <w:tc>
          <w:tcPr>
            <w:tcW w:w="1597" w:type="dxa"/>
            <w:shd w:val="clear" w:color="auto" w:fill="auto"/>
            <w:noWrap/>
          </w:tcPr>
          <w:p w14:paraId="59BDD623" w14:textId="77777777" w:rsidR="00B10259" w:rsidRPr="00605672" w:rsidRDefault="00B10259" w:rsidP="004B0C26">
            <w:pPr>
              <w:jc w:val="right"/>
              <w:rPr>
                <w:rFonts w:eastAsia="Times New Roman"/>
                <w:sz w:val="23"/>
                <w:szCs w:val="23"/>
              </w:rPr>
            </w:pPr>
            <w:r w:rsidRPr="00605672">
              <w:rPr>
                <w:rFonts w:eastAsia="Times New Roman"/>
                <w:sz w:val="23"/>
                <w:szCs w:val="23"/>
              </w:rPr>
              <w:t>.00</w:t>
            </w:r>
          </w:p>
        </w:tc>
        <w:tc>
          <w:tcPr>
            <w:tcW w:w="1134" w:type="dxa"/>
            <w:shd w:val="clear" w:color="auto" w:fill="auto"/>
            <w:noWrap/>
          </w:tcPr>
          <w:p w14:paraId="62CCE071" w14:textId="77777777" w:rsidR="00B10259" w:rsidRPr="00605672" w:rsidRDefault="00B10259" w:rsidP="004B0C26">
            <w:pPr>
              <w:rPr>
                <w:rFonts w:eastAsia="Times New Roman"/>
                <w:sz w:val="23"/>
                <w:szCs w:val="23"/>
              </w:rPr>
            </w:pPr>
            <w:r w:rsidRPr="00605672">
              <w:rPr>
                <w:rFonts w:eastAsia="Times New Roman"/>
                <w:sz w:val="23"/>
                <w:szCs w:val="23"/>
              </w:rPr>
              <w:t>(.10)</w:t>
            </w:r>
          </w:p>
        </w:tc>
        <w:tc>
          <w:tcPr>
            <w:tcW w:w="1289" w:type="dxa"/>
            <w:shd w:val="clear" w:color="auto" w:fill="auto"/>
            <w:noWrap/>
          </w:tcPr>
          <w:p w14:paraId="68CB462F" w14:textId="77777777" w:rsidR="00B10259" w:rsidRPr="00605672" w:rsidRDefault="00B10259" w:rsidP="004B0C26">
            <w:pPr>
              <w:jc w:val="right"/>
              <w:rPr>
                <w:rFonts w:eastAsia="Times New Roman"/>
                <w:sz w:val="23"/>
                <w:szCs w:val="23"/>
              </w:rPr>
            </w:pPr>
            <w:r w:rsidRPr="00605672">
              <w:rPr>
                <w:rFonts w:eastAsia="Times New Roman"/>
                <w:sz w:val="23"/>
                <w:szCs w:val="23"/>
              </w:rPr>
              <w:t>.12</w:t>
            </w:r>
          </w:p>
        </w:tc>
        <w:tc>
          <w:tcPr>
            <w:tcW w:w="695" w:type="dxa"/>
            <w:shd w:val="clear" w:color="auto" w:fill="auto"/>
            <w:noWrap/>
            <w:vAlign w:val="bottom"/>
          </w:tcPr>
          <w:p w14:paraId="595071EF" w14:textId="77777777" w:rsidR="00B10259" w:rsidRPr="00605672" w:rsidRDefault="00B10259" w:rsidP="004B0C26">
            <w:pPr>
              <w:rPr>
                <w:rFonts w:eastAsia="Times New Roman"/>
                <w:sz w:val="23"/>
                <w:szCs w:val="23"/>
              </w:rPr>
            </w:pPr>
            <w:r w:rsidRPr="00605672">
              <w:rPr>
                <w:rFonts w:eastAsia="Times New Roman"/>
                <w:sz w:val="23"/>
                <w:szCs w:val="23"/>
              </w:rPr>
              <w:t>(.09)</w:t>
            </w:r>
          </w:p>
        </w:tc>
      </w:tr>
      <w:tr w:rsidR="00B10259" w:rsidRPr="00605672" w14:paraId="5AEADCA5" w14:textId="77777777" w:rsidTr="00727D37">
        <w:trPr>
          <w:cantSplit/>
          <w:trHeight w:hRule="exact" w:val="284"/>
          <w:jc w:val="center"/>
        </w:trPr>
        <w:tc>
          <w:tcPr>
            <w:tcW w:w="5246" w:type="dxa"/>
            <w:shd w:val="clear" w:color="auto" w:fill="auto"/>
            <w:noWrap/>
          </w:tcPr>
          <w:p w14:paraId="0791A757" w14:textId="77777777" w:rsidR="00B10259" w:rsidRPr="00605672" w:rsidRDefault="00B10259" w:rsidP="004B0C26">
            <w:pPr>
              <w:rPr>
                <w:rFonts w:eastAsia="Times New Roman"/>
                <w:sz w:val="23"/>
                <w:szCs w:val="23"/>
              </w:rPr>
            </w:pPr>
            <w:r w:rsidRPr="00605672">
              <w:rPr>
                <w:rFonts w:eastAsia="Times New Roman"/>
                <w:sz w:val="23"/>
                <w:szCs w:val="23"/>
              </w:rPr>
              <w:t>Relative size</w:t>
            </w:r>
          </w:p>
        </w:tc>
        <w:tc>
          <w:tcPr>
            <w:tcW w:w="1510" w:type="dxa"/>
            <w:shd w:val="clear" w:color="auto" w:fill="auto"/>
            <w:noWrap/>
          </w:tcPr>
          <w:p w14:paraId="79CD5E30" w14:textId="77777777" w:rsidR="00B10259" w:rsidRPr="00605672" w:rsidRDefault="00B10259" w:rsidP="004B0C26">
            <w:pPr>
              <w:jc w:val="right"/>
              <w:rPr>
                <w:rFonts w:eastAsia="Times New Roman"/>
                <w:sz w:val="23"/>
                <w:szCs w:val="23"/>
              </w:rPr>
            </w:pPr>
          </w:p>
        </w:tc>
        <w:tc>
          <w:tcPr>
            <w:tcW w:w="1100" w:type="dxa"/>
            <w:shd w:val="clear" w:color="auto" w:fill="auto"/>
            <w:noWrap/>
          </w:tcPr>
          <w:p w14:paraId="56A3505F" w14:textId="77777777" w:rsidR="00B10259" w:rsidRPr="00605672" w:rsidRDefault="00B10259" w:rsidP="004B0C26">
            <w:pPr>
              <w:rPr>
                <w:rFonts w:eastAsia="Times New Roman"/>
                <w:sz w:val="23"/>
                <w:szCs w:val="23"/>
              </w:rPr>
            </w:pPr>
          </w:p>
        </w:tc>
        <w:tc>
          <w:tcPr>
            <w:tcW w:w="1597" w:type="dxa"/>
            <w:shd w:val="clear" w:color="auto" w:fill="auto"/>
            <w:noWrap/>
          </w:tcPr>
          <w:p w14:paraId="524F2CF2" w14:textId="77777777" w:rsidR="00B10259" w:rsidRPr="00605672" w:rsidRDefault="00B10259" w:rsidP="004B0C26">
            <w:pPr>
              <w:jc w:val="right"/>
              <w:rPr>
                <w:rFonts w:eastAsia="Times New Roman"/>
                <w:sz w:val="23"/>
                <w:szCs w:val="23"/>
              </w:rPr>
            </w:pPr>
            <w:r w:rsidRPr="00605672">
              <w:rPr>
                <w:rFonts w:eastAsia="Times New Roman"/>
                <w:sz w:val="23"/>
                <w:szCs w:val="23"/>
              </w:rPr>
              <w:t>.20</w:t>
            </w:r>
          </w:p>
        </w:tc>
        <w:tc>
          <w:tcPr>
            <w:tcW w:w="1134" w:type="dxa"/>
            <w:shd w:val="clear" w:color="auto" w:fill="auto"/>
            <w:noWrap/>
          </w:tcPr>
          <w:p w14:paraId="427C10FD" w14:textId="77777777" w:rsidR="00B10259" w:rsidRPr="00605672" w:rsidRDefault="00B10259" w:rsidP="004B0C26">
            <w:pPr>
              <w:rPr>
                <w:rFonts w:eastAsia="Times New Roman"/>
                <w:sz w:val="23"/>
                <w:szCs w:val="23"/>
              </w:rPr>
            </w:pPr>
            <w:r w:rsidRPr="00605672">
              <w:rPr>
                <w:rFonts w:eastAsia="Times New Roman"/>
                <w:sz w:val="23"/>
                <w:szCs w:val="23"/>
              </w:rPr>
              <w:t>(.25)</w:t>
            </w:r>
          </w:p>
        </w:tc>
        <w:tc>
          <w:tcPr>
            <w:tcW w:w="1289" w:type="dxa"/>
            <w:shd w:val="clear" w:color="auto" w:fill="auto"/>
            <w:noWrap/>
          </w:tcPr>
          <w:p w14:paraId="2CA481EB" w14:textId="77777777" w:rsidR="00B10259" w:rsidRPr="00605672" w:rsidRDefault="00B10259" w:rsidP="004B0C26">
            <w:pPr>
              <w:jc w:val="right"/>
              <w:rPr>
                <w:rFonts w:eastAsia="Times New Roman"/>
                <w:sz w:val="23"/>
                <w:szCs w:val="23"/>
              </w:rPr>
            </w:pPr>
            <w:r w:rsidRPr="00605672">
              <w:rPr>
                <w:rFonts w:eastAsia="Times New Roman"/>
                <w:sz w:val="23"/>
                <w:szCs w:val="23"/>
              </w:rPr>
              <w:t>.81</w:t>
            </w:r>
          </w:p>
        </w:tc>
        <w:tc>
          <w:tcPr>
            <w:tcW w:w="695" w:type="dxa"/>
            <w:shd w:val="clear" w:color="auto" w:fill="auto"/>
            <w:noWrap/>
            <w:vAlign w:val="bottom"/>
          </w:tcPr>
          <w:p w14:paraId="3E18DD34" w14:textId="77777777" w:rsidR="00B10259" w:rsidRPr="00605672" w:rsidRDefault="00B10259" w:rsidP="004B0C26">
            <w:pPr>
              <w:rPr>
                <w:rFonts w:eastAsia="Times New Roman"/>
                <w:sz w:val="23"/>
                <w:szCs w:val="23"/>
              </w:rPr>
            </w:pPr>
            <w:r w:rsidRPr="00605672">
              <w:rPr>
                <w:rFonts w:eastAsia="Times New Roman"/>
                <w:sz w:val="23"/>
                <w:szCs w:val="23"/>
              </w:rPr>
              <w:t>(.24)***</w:t>
            </w:r>
          </w:p>
        </w:tc>
      </w:tr>
      <w:tr w:rsidR="00B10259" w:rsidRPr="00605672" w14:paraId="3EF9CF9A" w14:textId="77777777" w:rsidTr="00727D37">
        <w:trPr>
          <w:cantSplit/>
          <w:trHeight w:hRule="exact" w:val="284"/>
          <w:jc w:val="center"/>
        </w:trPr>
        <w:tc>
          <w:tcPr>
            <w:tcW w:w="5246" w:type="dxa"/>
            <w:shd w:val="clear" w:color="auto" w:fill="auto"/>
            <w:noWrap/>
          </w:tcPr>
          <w:p w14:paraId="7F1F8E17" w14:textId="77777777" w:rsidR="00B10259" w:rsidRPr="00605672" w:rsidRDefault="00B10259" w:rsidP="004B0C26">
            <w:pPr>
              <w:rPr>
                <w:rFonts w:eastAsia="Times New Roman"/>
                <w:sz w:val="23"/>
                <w:szCs w:val="23"/>
              </w:rPr>
            </w:pPr>
            <w:r w:rsidRPr="00605672">
              <w:rPr>
                <w:rFonts w:eastAsia="Times New Roman"/>
                <w:sz w:val="23"/>
                <w:szCs w:val="23"/>
              </w:rPr>
              <w:t>Supplier size</w:t>
            </w:r>
          </w:p>
        </w:tc>
        <w:tc>
          <w:tcPr>
            <w:tcW w:w="1510" w:type="dxa"/>
            <w:shd w:val="clear" w:color="auto" w:fill="auto"/>
            <w:noWrap/>
          </w:tcPr>
          <w:p w14:paraId="789AF4A0" w14:textId="77777777" w:rsidR="00B10259" w:rsidRPr="00605672" w:rsidRDefault="00B10259" w:rsidP="004B0C26">
            <w:pPr>
              <w:jc w:val="right"/>
              <w:rPr>
                <w:rFonts w:eastAsia="Times New Roman"/>
                <w:sz w:val="23"/>
                <w:szCs w:val="23"/>
              </w:rPr>
            </w:pPr>
          </w:p>
        </w:tc>
        <w:tc>
          <w:tcPr>
            <w:tcW w:w="1100" w:type="dxa"/>
            <w:shd w:val="clear" w:color="auto" w:fill="auto"/>
            <w:noWrap/>
          </w:tcPr>
          <w:p w14:paraId="6BA78A18" w14:textId="77777777" w:rsidR="00B10259" w:rsidRPr="00605672" w:rsidRDefault="00B10259" w:rsidP="004B0C26">
            <w:pPr>
              <w:rPr>
                <w:rFonts w:eastAsia="Times New Roman"/>
                <w:sz w:val="23"/>
                <w:szCs w:val="23"/>
              </w:rPr>
            </w:pPr>
          </w:p>
        </w:tc>
        <w:tc>
          <w:tcPr>
            <w:tcW w:w="1597" w:type="dxa"/>
            <w:shd w:val="clear" w:color="auto" w:fill="auto"/>
            <w:noWrap/>
          </w:tcPr>
          <w:p w14:paraId="1569B12F" w14:textId="77777777" w:rsidR="00B10259" w:rsidRPr="00605672" w:rsidRDefault="00B10259" w:rsidP="004B0C26">
            <w:pPr>
              <w:jc w:val="right"/>
              <w:rPr>
                <w:rFonts w:eastAsia="Times New Roman"/>
                <w:sz w:val="23"/>
                <w:szCs w:val="23"/>
              </w:rPr>
            </w:pPr>
            <w:r w:rsidRPr="00605672">
              <w:rPr>
                <w:rFonts w:eastAsia="Times New Roman"/>
                <w:sz w:val="23"/>
                <w:szCs w:val="23"/>
              </w:rPr>
              <w:t>.02</w:t>
            </w:r>
          </w:p>
        </w:tc>
        <w:tc>
          <w:tcPr>
            <w:tcW w:w="1134" w:type="dxa"/>
            <w:shd w:val="clear" w:color="auto" w:fill="auto"/>
            <w:noWrap/>
          </w:tcPr>
          <w:p w14:paraId="12BF124C" w14:textId="77777777" w:rsidR="00B10259" w:rsidRPr="00605672" w:rsidRDefault="00B10259" w:rsidP="004B0C26">
            <w:pPr>
              <w:rPr>
                <w:rFonts w:eastAsia="Times New Roman"/>
                <w:sz w:val="23"/>
                <w:szCs w:val="23"/>
              </w:rPr>
            </w:pPr>
            <w:r w:rsidRPr="00605672">
              <w:rPr>
                <w:rFonts w:eastAsia="Times New Roman"/>
                <w:sz w:val="23"/>
                <w:szCs w:val="23"/>
              </w:rPr>
              <w:t>(.11)</w:t>
            </w:r>
          </w:p>
        </w:tc>
        <w:tc>
          <w:tcPr>
            <w:tcW w:w="1289" w:type="dxa"/>
            <w:shd w:val="clear" w:color="auto" w:fill="auto"/>
            <w:noWrap/>
          </w:tcPr>
          <w:p w14:paraId="472DA641" w14:textId="77777777" w:rsidR="00B10259" w:rsidRPr="00605672" w:rsidRDefault="00B10259" w:rsidP="004B0C26">
            <w:pPr>
              <w:jc w:val="right"/>
              <w:rPr>
                <w:rFonts w:eastAsia="Times New Roman"/>
                <w:sz w:val="23"/>
                <w:szCs w:val="23"/>
              </w:rPr>
            </w:pPr>
            <w:r w:rsidRPr="00605672">
              <w:rPr>
                <w:rFonts w:eastAsia="Times New Roman"/>
                <w:sz w:val="23"/>
                <w:szCs w:val="23"/>
              </w:rPr>
              <w:t>-.05</w:t>
            </w:r>
          </w:p>
        </w:tc>
        <w:tc>
          <w:tcPr>
            <w:tcW w:w="695" w:type="dxa"/>
            <w:shd w:val="clear" w:color="auto" w:fill="auto"/>
            <w:noWrap/>
            <w:vAlign w:val="bottom"/>
          </w:tcPr>
          <w:p w14:paraId="3D4FF1BE" w14:textId="77777777" w:rsidR="00B10259" w:rsidRPr="00605672" w:rsidRDefault="00B10259" w:rsidP="004B0C26">
            <w:pPr>
              <w:rPr>
                <w:rFonts w:eastAsia="Times New Roman"/>
                <w:sz w:val="23"/>
                <w:szCs w:val="23"/>
              </w:rPr>
            </w:pPr>
            <w:r w:rsidRPr="00605672">
              <w:rPr>
                <w:rFonts w:eastAsia="Times New Roman"/>
                <w:sz w:val="23"/>
                <w:szCs w:val="23"/>
              </w:rPr>
              <w:t>(.12)</w:t>
            </w:r>
          </w:p>
        </w:tc>
      </w:tr>
      <w:tr w:rsidR="00B10259" w:rsidRPr="00605672" w14:paraId="4E293C5C" w14:textId="77777777" w:rsidTr="00727D37">
        <w:trPr>
          <w:cantSplit/>
          <w:trHeight w:hRule="exact" w:val="284"/>
          <w:jc w:val="center"/>
        </w:trPr>
        <w:tc>
          <w:tcPr>
            <w:tcW w:w="5246" w:type="dxa"/>
            <w:shd w:val="clear" w:color="auto" w:fill="auto"/>
            <w:noWrap/>
            <w:hideMark/>
          </w:tcPr>
          <w:p w14:paraId="109E2F06" w14:textId="77777777" w:rsidR="00B10259" w:rsidRPr="00605672" w:rsidRDefault="00935E82" w:rsidP="00935E82">
            <w:pPr>
              <w:rPr>
                <w:rFonts w:eastAsia="Times New Roman"/>
                <w:sz w:val="23"/>
                <w:szCs w:val="23"/>
              </w:rPr>
            </w:pPr>
            <w:r w:rsidRPr="00605672">
              <w:rPr>
                <w:rFonts w:eastAsia="Times New Roman"/>
                <w:sz w:val="23"/>
                <w:szCs w:val="23"/>
              </w:rPr>
              <w:t xml:space="preserve">Residual for SINVT2, </w:t>
            </w:r>
            <w:r w:rsidR="00B10259" w:rsidRPr="00605672">
              <w:rPr>
                <w:rFonts w:eastAsia="Times New Roman"/>
                <w:sz w:val="23"/>
                <w:szCs w:val="23"/>
              </w:rPr>
              <w:t xml:space="preserve">RES_SINVT2 </w:t>
            </w:r>
          </w:p>
        </w:tc>
        <w:tc>
          <w:tcPr>
            <w:tcW w:w="1510" w:type="dxa"/>
            <w:shd w:val="clear" w:color="auto" w:fill="auto"/>
            <w:noWrap/>
          </w:tcPr>
          <w:p w14:paraId="1F7EB81F" w14:textId="77777777" w:rsidR="00B10259" w:rsidRPr="00605672" w:rsidRDefault="00B10259" w:rsidP="004B0C26">
            <w:pPr>
              <w:jc w:val="right"/>
              <w:rPr>
                <w:rFonts w:eastAsia="Times New Roman"/>
                <w:sz w:val="23"/>
                <w:szCs w:val="23"/>
              </w:rPr>
            </w:pPr>
            <w:r w:rsidRPr="00605672">
              <w:rPr>
                <w:rFonts w:eastAsia="Times New Roman"/>
                <w:sz w:val="23"/>
                <w:szCs w:val="23"/>
              </w:rPr>
              <w:t>-.87</w:t>
            </w:r>
          </w:p>
        </w:tc>
        <w:tc>
          <w:tcPr>
            <w:tcW w:w="1100" w:type="dxa"/>
            <w:shd w:val="clear" w:color="auto" w:fill="auto"/>
            <w:noWrap/>
          </w:tcPr>
          <w:p w14:paraId="5B6A46EA" w14:textId="77777777" w:rsidR="00B10259" w:rsidRPr="00605672" w:rsidRDefault="00B10259" w:rsidP="004B0C26">
            <w:pPr>
              <w:rPr>
                <w:rFonts w:eastAsia="Times New Roman"/>
                <w:sz w:val="23"/>
                <w:szCs w:val="23"/>
              </w:rPr>
            </w:pPr>
            <w:r w:rsidRPr="00605672">
              <w:rPr>
                <w:rFonts w:eastAsia="Times New Roman"/>
                <w:sz w:val="23"/>
                <w:szCs w:val="23"/>
              </w:rPr>
              <w:t>(.54)</w:t>
            </w:r>
          </w:p>
        </w:tc>
        <w:tc>
          <w:tcPr>
            <w:tcW w:w="1597" w:type="dxa"/>
            <w:shd w:val="clear" w:color="auto" w:fill="auto"/>
            <w:noWrap/>
          </w:tcPr>
          <w:p w14:paraId="172F6E0E" w14:textId="77777777" w:rsidR="00B10259" w:rsidRPr="00605672" w:rsidRDefault="00B10259" w:rsidP="004B0C26">
            <w:pPr>
              <w:jc w:val="right"/>
              <w:rPr>
                <w:rFonts w:eastAsia="Times New Roman"/>
                <w:sz w:val="23"/>
                <w:szCs w:val="23"/>
              </w:rPr>
            </w:pPr>
          </w:p>
        </w:tc>
        <w:tc>
          <w:tcPr>
            <w:tcW w:w="1134" w:type="dxa"/>
            <w:shd w:val="clear" w:color="auto" w:fill="auto"/>
            <w:noWrap/>
          </w:tcPr>
          <w:p w14:paraId="119DC9E8" w14:textId="77777777" w:rsidR="00B10259" w:rsidRPr="00605672" w:rsidRDefault="00B10259" w:rsidP="004B0C26">
            <w:pPr>
              <w:rPr>
                <w:rFonts w:eastAsia="Times New Roman"/>
                <w:sz w:val="23"/>
                <w:szCs w:val="23"/>
              </w:rPr>
            </w:pPr>
          </w:p>
        </w:tc>
        <w:tc>
          <w:tcPr>
            <w:tcW w:w="1289" w:type="dxa"/>
            <w:shd w:val="clear" w:color="auto" w:fill="auto"/>
            <w:noWrap/>
          </w:tcPr>
          <w:p w14:paraId="6D57934F" w14:textId="77777777" w:rsidR="00B10259" w:rsidRPr="00605672" w:rsidRDefault="00B10259" w:rsidP="004B0C26">
            <w:pPr>
              <w:jc w:val="right"/>
              <w:rPr>
                <w:rFonts w:eastAsia="Times New Roman"/>
                <w:sz w:val="23"/>
                <w:szCs w:val="23"/>
              </w:rPr>
            </w:pPr>
          </w:p>
        </w:tc>
        <w:tc>
          <w:tcPr>
            <w:tcW w:w="695" w:type="dxa"/>
            <w:shd w:val="clear" w:color="auto" w:fill="auto"/>
            <w:noWrap/>
            <w:vAlign w:val="bottom"/>
          </w:tcPr>
          <w:p w14:paraId="53BB2938" w14:textId="77777777" w:rsidR="00B10259" w:rsidRPr="00605672" w:rsidRDefault="00B10259" w:rsidP="004B0C26">
            <w:pPr>
              <w:rPr>
                <w:rFonts w:eastAsia="Times New Roman"/>
                <w:sz w:val="23"/>
                <w:szCs w:val="23"/>
              </w:rPr>
            </w:pPr>
          </w:p>
        </w:tc>
      </w:tr>
      <w:tr w:rsidR="00B10259" w:rsidRPr="00605672" w14:paraId="31DE290E" w14:textId="77777777" w:rsidTr="00727D37">
        <w:trPr>
          <w:cantSplit/>
          <w:trHeight w:hRule="exact" w:val="284"/>
          <w:jc w:val="center"/>
        </w:trPr>
        <w:tc>
          <w:tcPr>
            <w:tcW w:w="5246" w:type="dxa"/>
            <w:shd w:val="clear" w:color="auto" w:fill="auto"/>
            <w:noWrap/>
            <w:hideMark/>
          </w:tcPr>
          <w:p w14:paraId="1EFD684B" w14:textId="77777777" w:rsidR="00B10259" w:rsidRPr="00605672" w:rsidRDefault="00935E82" w:rsidP="004B0C26">
            <w:pPr>
              <w:rPr>
                <w:rFonts w:eastAsia="Times New Roman"/>
                <w:sz w:val="23"/>
                <w:szCs w:val="23"/>
              </w:rPr>
            </w:pPr>
            <w:r w:rsidRPr="00605672">
              <w:rPr>
                <w:rFonts w:eastAsia="Times New Roman"/>
                <w:sz w:val="23"/>
                <w:szCs w:val="23"/>
              </w:rPr>
              <w:t xml:space="preserve">Residual for RINVT2, </w:t>
            </w:r>
            <w:r w:rsidR="00B10259" w:rsidRPr="00605672">
              <w:rPr>
                <w:rFonts w:eastAsia="Times New Roman"/>
                <w:sz w:val="23"/>
                <w:szCs w:val="23"/>
              </w:rPr>
              <w:t>RES_RINVT2</w:t>
            </w:r>
          </w:p>
        </w:tc>
        <w:tc>
          <w:tcPr>
            <w:tcW w:w="1510" w:type="dxa"/>
            <w:shd w:val="clear" w:color="auto" w:fill="auto"/>
            <w:noWrap/>
          </w:tcPr>
          <w:p w14:paraId="7A96DB09" w14:textId="77777777" w:rsidR="00B10259" w:rsidRPr="00605672" w:rsidRDefault="00B10259" w:rsidP="004B0C26">
            <w:pPr>
              <w:jc w:val="right"/>
              <w:rPr>
                <w:rFonts w:eastAsia="Times New Roman"/>
                <w:sz w:val="23"/>
                <w:szCs w:val="23"/>
              </w:rPr>
            </w:pPr>
            <w:r w:rsidRPr="00605672">
              <w:rPr>
                <w:rFonts w:eastAsia="Times New Roman"/>
                <w:sz w:val="23"/>
                <w:szCs w:val="23"/>
              </w:rPr>
              <w:t>-.35</w:t>
            </w:r>
          </w:p>
        </w:tc>
        <w:tc>
          <w:tcPr>
            <w:tcW w:w="1100" w:type="dxa"/>
            <w:shd w:val="clear" w:color="auto" w:fill="auto"/>
            <w:noWrap/>
          </w:tcPr>
          <w:p w14:paraId="085DE7A7" w14:textId="77777777" w:rsidR="00B10259" w:rsidRPr="00605672" w:rsidRDefault="00B10259" w:rsidP="004B0C26">
            <w:pPr>
              <w:rPr>
                <w:rFonts w:eastAsia="Times New Roman"/>
                <w:sz w:val="23"/>
                <w:szCs w:val="23"/>
              </w:rPr>
            </w:pPr>
            <w:r w:rsidRPr="00605672">
              <w:rPr>
                <w:rFonts w:eastAsia="Times New Roman"/>
                <w:sz w:val="23"/>
                <w:szCs w:val="23"/>
              </w:rPr>
              <w:t>(.29)</w:t>
            </w:r>
          </w:p>
        </w:tc>
        <w:tc>
          <w:tcPr>
            <w:tcW w:w="1597" w:type="dxa"/>
            <w:shd w:val="clear" w:color="auto" w:fill="auto"/>
            <w:noWrap/>
          </w:tcPr>
          <w:p w14:paraId="158C9D0E" w14:textId="77777777" w:rsidR="00B10259" w:rsidRPr="00605672" w:rsidRDefault="00B10259" w:rsidP="004B0C26">
            <w:pPr>
              <w:jc w:val="right"/>
              <w:rPr>
                <w:rFonts w:eastAsia="Times New Roman"/>
                <w:sz w:val="23"/>
                <w:szCs w:val="23"/>
              </w:rPr>
            </w:pPr>
          </w:p>
        </w:tc>
        <w:tc>
          <w:tcPr>
            <w:tcW w:w="1134" w:type="dxa"/>
            <w:shd w:val="clear" w:color="auto" w:fill="auto"/>
            <w:noWrap/>
          </w:tcPr>
          <w:p w14:paraId="4E71DC14" w14:textId="77777777" w:rsidR="00B10259" w:rsidRPr="00605672" w:rsidRDefault="00B10259" w:rsidP="004B0C26">
            <w:pPr>
              <w:rPr>
                <w:rFonts w:eastAsia="Times New Roman"/>
                <w:sz w:val="23"/>
                <w:szCs w:val="23"/>
              </w:rPr>
            </w:pPr>
          </w:p>
        </w:tc>
        <w:tc>
          <w:tcPr>
            <w:tcW w:w="1289" w:type="dxa"/>
            <w:shd w:val="clear" w:color="auto" w:fill="auto"/>
            <w:noWrap/>
          </w:tcPr>
          <w:p w14:paraId="0114DBBD" w14:textId="77777777" w:rsidR="00B10259" w:rsidRPr="00605672" w:rsidRDefault="00B10259" w:rsidP="004B0C26">
            <w:pPr>
              <w:jc w:val="right"/>
              <w:rPr>
                <w:rFonts w:eastAsia="Times New Roman"/>
                <w:sz w:val="23"/>
                <w:szCs w:val="23"/>
              </w:rPr>
            </w:pPr>
          </w:p>
        </w:tc>
        <w:tc>
          <w:tcPr>
            <w:tcW w:w="695" w:type="dxa"/>
            <w:shd w:val="clear" w:color="auto" w:fill="auto"/>
            <w:noWrap/>
            <w:vAlign w:val="bottom"/>
          </w:tcPr>
          <w:p w14:paraId="183E876D" w14:textId="77777777" w:rsidR="00B10259" w:rsidRPr="00605672" w:rsidRDefault="00B10259" w:rsidP="004B0C26">
            <w:pPr>
              <w:rPr>
                <w:rFonts w:eastAsia="Times New Roman"/>
                <w:sz w:val="23"/>
                <w:szCs w:val="23"/>
              </w:rPr>
            </w:pPr>
          </w:p>
        </w:tc>
      </w:tr>
      <w:tr w:rsidR="00B10259" w:rsidRPr="00605672" w14:paraId="4C509213" w14:textId="77777777" w:rsidTr="00727D37">
        <w:trPr>
          <w:cantSplit/>
          <w:trHeight w:hRule="exact" w:val="284"/>
          <w:jc w:val="center"/>
        </w:trPr>
        <w:tc>
          <w:tcPr>
            <w:tcW w:w="5246" w:type="dxa"/>
            <w:tcBorders>
              <w:bottom w:val="single" w:sz="4" w:space="0" w:color="auto"/>
            </w:tcBorders>
            <w:shd w:val="clear" w:color="auto" w:fill="auto"/>
            <w:noWrap/>
            <w:hideMark/>
          </w:tcPr>
          <w:p w14:paraId="32D9D5DE" w14:textId="77777777" w:rsidR="00B10259" w:rsidRPr="00605672" w:rsidRDefault="00B10259" w:rsidP="004B0C26">
            <w:pPr>
              <w:rPr>
                <w:rFonts w:eastAsia="Times New Roman"/>
                <w:sz w:val="23"/>
                <w:szCs w:val="23"/>
              </w:rPr>
            </w:pPr>
            <w:r w:rsidRPr="00605672">
              <w:rPr>
                <w:rFonts w:eastAsia="Times New Roman"/>
                <w:sz w:val="23"/>
                <w:szCs w:val="23"/>
              </w:rPr>
              <w:t>Constant</w:t>
            </w:r>
          </w:p>
        </w:tc>
        <w:tc>
          <w:tcPr>
            <w:tcW w:w="1510" w:type="dxa"/>
            <w:tcBorders>
              <w:bottom w:val="single" w:sz="4" w:space="0" w:color="auto"/>
            </w:tcBorders>
            <w:shd w:val="clear" w:color="auto" w:fill="auto"/>
            <w:noWrap/>
          </w:tcPr>
          <w:p w14:paraId="69EE6453" w14:textId="77777777" w:rsidR="00B10259" w:rsidRPr="00605672" w:rsidRDefault="00B10259" w:rsidP="004B0C26">
            <w:pPr>
              <w:jc w:val="right"/>
              <w:rPr>
                <w:rFonts w:eastAsia="Times New Roman"/>
                <w:sz w:val="23"/>
                <w:szCs w:val="23"/>
              </w:rPr>
            </w:pPr>
            <w:r w:rsidRPr="00605672">
              <w:rPr>
                <w:rFonts w:eastAsia="Times New Roman"/>
                <w:sz w:val="23"/>
                <w:szCs w:val="23"/>
              </w:rPr>
              <w:t>-.76</w:t>
            </w:r>
          </w:p>
        </w:tc>
        <w:tc>
          <w:tcPr>
            <w:tcW w:w="1100" w:type="dxa"/>
            <w:tcBorders>
              <w:bottom w:val="single" w:sz="4" w:space="0" w:color="auto"/>
            </w:tcBorders>
            <w:shd w:val="clear" w:color="auto" w:fill="auto"/>
            <w:noWrap/>
          </w:tcPr>
          <w:p w14:paraId="798BAEF6" w14:textId="77777777" w:rsidR="00B10259" w:rsidRPr="00605672" w:rsidRDefault="00B10259" w:rsidP="004B0C26">
            <w:pPr>
              <w:rPr>
                <w:rFonts w:eastAsia="Times New Roman"/>
                <w:sz w:val="23"/>
                <w:szCs w:val="23"/>
              </w:rPr>
            </w:pPr>
            <w:r w:rsidRPr="00605672">
              <w:rPr>
                <w:rFonts w:eastAsia="Times New Roman"/>
                <w:sz w:val="23"/>
                <w:szCs w:val="23"/>
              </w:rPr>
              <w:t>(.97)</w:t>
            </w:r>
          </w:p>
        </w:tc>
        <w:tc>
          <w:tcPr>
            <w:tcW w:w="1597" w:type="dxa"/>
            <w:tcBorders>
              <w:bottom w:val="single" w:sz="4" w:space="0" w:color="auto"/>
            </w:tcBorders>
            <w:shd w:val="clear" w:color="auto" w:fill="auto"/>
            <w:noWrap/>
          </w:tcPr>
          <w:p w14:paraId="7EC3FD9D" w14:textId="77777777" w:rsidR="00B10259" w:rsidRPr="00605672" w:rsidRDefault="00B10259" w:rsidP="004B0C26">
            <w:pPr>
              <w:jc w:val="right"/>
              <w:rPr>
                <w:rFonts w:eastAsia="Times New Roman"/>
                <w:sz w:val="23"/>
                <w:szCs w:val="23"/>
              </w:rPr>
            </w:pPr>
            <w:r w:rsidRPr="00605672">
              <w:rPr>
                <w:rFonts w:eastAsia="Times New Roman"/>
                <w:sz w:val="23"/>
                <w:szCs w:val="23"/>
              </w:rPr>
              <w:t>-.13</w:t>
            </w:r>
          </w:p>
        </w:tc>
        <w:tc>
          <w:tcPr>
            <w:tcW w:w="1134" w:type="dxa"/>
            <w:tcBorders>
              <w:bottom w:val="single" w:sz="4" w:space="0" w:color="auto"/>
            </w:tcBorders>
            <w:shd w:val="clear" w:color="auto" w:fill="auto"/>
            <w:noWrap/>
          </w:tcPr>
          <w:p w14:paraId="3FE55FC1" w14:textId="77777777" w:rsidR="00B10259" w:rsidRPr="00605672" w:rsidRDefault="00B10259" w:rsidP="004B0C26">
            <w:pPr>
              <w:rPr>
                <w:rFonts w:eastAsia="Times New Roman"/>
                <w:sz w:val="23"/>
                <w:szCs w:val="23"/>
              </w:rPr>
            </w:pPr>
            <w:r w:rsidRPr="00605672">
              <w:rPr>
                <w:rFonts w:eastAsia="Times New Roman"/>
                <w:sz w:val="23"/>
                <w:szCs w:val="23"/>
              </w:rPr>
              <w:t>(.81)</w:t>
            </w:r>
          </w:p>
        </w:tc>
        <w:tc>
          <w:tcPr>
            <w:tcW w:w="1289" w:type="dxa"/>
            <w:tcBorders>
              <w:bottom w:val="single" w:sz="4" w:space="0" w:color="auto"/>
            </w:tcBorders>
            <w:shd w:val="clear" w:color="auto" w:fill="auto"/>
            <w:noWrap/>
          </w:tcPr>
          <w:p w14:paraId="5D97425B" w14:textId="77777777" w:rsidR="00B10259" w:rsidRPr="00605672" w:rsidRDefault="00B10259" w:rsidP="004B0C26">
            <w:pPr>
              <w:jc w:val="right"/>
              <w:rPr>
                <w:rFonts w:eastAsia="Times New Roman"/>
                <w:sz w:val="23"/>
                <w:szCs w:val="23"/>
              </w:rPr>
            </w:pPr>
            <w:r w:rsidRPr="00605672">
              <w:rPr>
                <w:rFonts w:eastAsia="Times New Roman"/>
                <w:sz w:val="23"/>
                <w:szCs w:val="23"/>
              </w:rPr>
              <w:t>.18</w:t>
            </w:r>
          </w:p>
        </w:tc>
        <w:tc>
          <w:tcPr>
            <w:tcW w:w="695" w:type="dxa"/>
            <w:tcBorders>
              <w:bottom w:val="single" w:sz="4" w:space="0" w:color="auto"/>
            </w:tcBorders>
            <w:shd w:val="clear" w:color="auto" w:fill="auto"/>
            <w:noWrap/>
            <w:vAlign w:val="bottom"/>
          </w:tcPr>
          <w:p w14:paraId="0ED995B2" w14:textId="77777777" w:rsidR="00B10259" w:rsidRPr="00605672" w:rsidRDefault="00B10259" w:rsidP="004B0C26">
            <w:pPr>
              <w:rPr>
                <w:rFonts w:eastAsia="Times New Roman"/>
                <w:sz w:val="23"/>
                <w:szCs w:val="23"/>
              </w:rPr>
            </w:pPr>
            <w:r w:rsidRPr="00605672">
              <w:rPr>
                <w:rFonts w:eastAsia="Times New Roman"/>
                <w:sz w:val="23"/>
                <w:szCs w:val="23"/>
              </w:rPr>
              <w:t>(.78)</w:t>
            </w:r>
          </w:p>
        </w:tc>
      </w:tr>
      <w:tr w:rsidR="00B10259" w:rsidRPr="00605672" w14:paraId="7779042F" w14:textId="77777777" w:rsidTr="002E6B3C">
        <w:trPr>
          <w:cantSplit/>
          <w:trHeight w:hRule="exact" w:val="284"/>
          <w:jc w:val="center"/>
        </w:trPr>
        <w:tc>
          <w:tcPr>
            <w:tcW w:w="5246" w:type="dxa"/>
            <w:tcBorders>
              <w:top w:val="single" w:sz="4" w:space="0" w:color="auto"/>
              <w:bottom w:val="single" w:sz="4" w:space="0" w:color="auto"/>
            </w:tcBorders>
            <w:shd w:val="clear" w:color="auto" w:fill="auto"/>
            <w:noWrap/>
          </w:tcPr>
          <w:p w14:paraId="4A00B686" w14:textId="77777777" w:rsidR="00B10259" w:rsidRPr="00605672" w:rsidRDefault="00B10259" w:rsidP="004B0C26">
            <w:pPr>
              <w:jc w:val="right"/>
              <w:rPr>
                <w:rFonts w:eastAsia="Times New Roman"/>
                <w:sz w:val="23"/>
                <w:szCs w:val="23"/>
              </w:rPr>
            </w:pPr>
            <w:r w:rsidRPr="00605672">
              <w:rPr>
                <w:rFonts w:eastAsia="Times New Roman"/>
                <w:sz w:val="23"/>
                <w:szCs w:val="23"/>
              </w:rPr>
              <w:t>R</w:t>
            </w:r>
            <w:r w:rsidR="00AA5B5D" w:rsidRPr="00727D37">
              <w:rPr>
                <w:rFonts w:eastAsia="Times New Roman"/>
                <w:sz w:val="23"/>
                <w:szCs w:val="23"/>
                <w:vertAlign w:val="superscript"/>
              </w:rPr>
              <w:t>2</w:t>
            </w:r>
          </w:p>
        </w:tc>
        <w:tc>
          <w:tcPr>
            <w:tcW w:w="2610" w:type="dxa"/>
            <w:gridSpan w:val="2"/>
            <w:tcBorders>
              <w:top w:val="single" w:sz="4" w:space="0" w:color="auto"/>
              <w:bottom w:val="single" w:sz="4" w:space="0" w:color="auto"/>
            </w:tcBorders>
            <w:shd w:val="clear" w:color="auto" w:fill="auto"/>
            <w:noWrap/>
          </w:tcPr>
          <w:p w14:paraId="1867016F" w14:textId="77777777" w:rsidR="00B10259" w:rsidRPr="00605672" w:rsidRDefault="00B10259" w:rsidP="00C5275B">
            <w:pPr>
              <w:jc w:val="center"/>
              <w:rPr>
                <w:rFonts w:eastAsia="Times New Roman"/>
                <w:sz w:val="23"/>
                <w:szCs w:val="23"/>
              </w:rPr>
            </w:pPr>
            <w:r w:rsidRPr="00605672">
              <w:rPr>
                <w:rFonts w:eastAsia="Times New Roman"/>
                <w:sz w:val="23"/>
                <w:szCs w:val="23"/>
              </w:rPr>
              <w:t>.37</w:t>
            </w:r>
          </w:p>
        </w:tc>
        <w:tc>
          <w:tcPr>
            <w:tcW w:w="2731" w:type="dxa"/>
            <w:gridSpan w:val="2"/>
            <w:tcBorders>
              <w:top w:val="single" w:sz="4" w:space="0" w:color="auto"/>
              <w:bottom w:val="single" w:sz="4" w:space="0" w:color="auto"/>
            </w:tcBorders>
            <w:shd w:val="clear" w:color="auto" w:fill="auto"/>
            <w:noWrap/>
          </w:tcPr>
          <w:p w14:paraId="42AEAF21" w14:textId="77777777" w:rsidR="00B10259" w:rsidRPr="00605672" w:rsidRDefault="00B10259" w:rsidP="000E08E5">
            <w:pPr>
              <w:jc w:val="center"/>
              <w:rPr>
                <w:rFonts w:eastAsia="Times New Roman"/>
                <w:sz w:val="23"/>
                <w:szCs w:val="23"/>
              </w:rPr>
            </w:pPr>
            <w:r w:rsidRPr="00605672">
              <w:rPr>
                <w:rFonts w:eastAsia="Times New Roman"/>
                <w:sz w:val="23"/>
                <w:szCs w:val="23"/>
              </w:rPr>
              <w:t>.41</w:t>
            </w:r>
          </w:p>
        </w:tc>
        <w:tc>
          <w:tcPr>
            <w:tcW w:w="1984" w:type="dxa"/>
            <w:gridSpan w:val="2"/>
            <w:tcBorders>
              <w:top w:val="single" w:sz="4" w:space="0" w:color="auto"/>
              <w:bottom w:val="single" w:sz="4" w:space="0" w:color="auto"/>
            </w:tcBorders>
            <w:shd w:val="clear" w:color="auto" w:fill="auto"/>
            <w:noWrap/>
          </w:tcPr>
          <w:p w14:paraId="42815A7B" w14:textId="77777777" w:rsidR="00B10259" w:rsidRPr="00605672" w:rsidRDefault="00B10259" w:rsidP="004B0C26">
            <w:pPr>
              <w:jc w:val="center"/>
              <w:rPr>
                <w:rFonts w:eastAsia="Times New Roman"/>
                <w:sz w:val="23"/>
                <w:szCs w:val="23"/>
              </w:rPr>
            </w:pPr>
            <w:r w:rsidRPr="00605672">
              <w:rPr>
                <w:rFonts w:eastAsia="Times New Roman"/>
                <w:sz w:val="23"/>
                <w:szCs w:val="23"/>
              </w:rPr>
              <w:t>.64</w:t>
            </w:r>
          </w:p>
        </w:tc>
      </w:tr>
    </w:tbl>
    <w:p w14:paraId="78A287AA" w14:textId="388D5A7E" w:rsidR="004A1B6C" w:rsidRDefault="00B10259" w:rsidP="00727D37">
      <w:pPr>
        <w:ind w:left="-806"/>
        <w:rPr>
          <w:rFonts w:eastAsia="Times New Roman"/>
          <w:color w:val="000000"/>
          <w:sz w:val="20"/>
          <w:szCs w:val="20"/>
        </w:rPr>
      </w:pPr>
      <w:r w:rsidRPr="00605672">
        <w:rPr>
          <w:rFonts w:eastAsia="Times New Roman"/>
          <w:color w:val="000000"/>
          <w:sz w:val="20"/>
          <w:szCs w:val="20"/>
        </w:rPr>
        <w:t xml:space="preserve">* </w:t>
      </w:r>
      <w:r w:rsidRPr="00605672">
        <w:rPr>
          <w:rFonts w:eastAsia="Times New Roman"/>
          <w:i/>
          <w:iCs/>
          <w:color w:val="000000"/>
          <w:sz w:val="20"/>
          <w:szCs w:val="20"/>
        </w:rPr>
        <w:t>p</w:t>
      </w:r>
      <w:r w:rsidRPr="00605672">
        <w:rPr>
          <w:rFonts w:eastAsia="Times New Roman"/>
          <w:color w:val="000000"/>
          <w:sz w:val="20"/>
          <w:szCs w:val="20"/>
        </w:rPr>
        <w:t xml:space="preserve"> &lt; .10</w:t>
      </w:r>
      <w:r w:rsidR="00FC679E">
        <w:rPr>
          <w:rFonts w:eastAsia="Times New Roman"/>
          <w:color w:val="000000"/>
          <w:sz w:val="20"/>
          <w:szCs w:val="20"/>
        </w:rPr>
        <w:t>.</w:t>
      </w:r>
      <w:r w:rsidRPr="00605672">
        <w:rPr>
          <w:rFonts w:eastAsia="Times New Roman"/>
          <w:color w:val="000000"/>
          <w:sz w:val="20"/>
          <w:szCs w:val="20"/>
        </w:rPr>
        <w:t xml:space="preserve"> ** </w:t>
      </w:r>
      <w:r w:rsidRPr="00605672">
        <w:rPr>
          <w:rFonts w:eastAsia="Times New Roman"/>
          <w:i/>
          <w:iCs/>
          <w:color w:val="000000"/>
          <w:sz w:val="20"/>
          <w:szCs w:val="20"/>
        </w:rPr>
        <w:t>p</w:t>
      </w:r>
      <w:r w:rsidRPr="00605672">
        <w:rPr>
          <w:rFonts w:eastAsia="Times New Roman"/>
          <w:color w:val="000000"/>
          <w:sz w:val="20"/>
          <w:szCs w:val="20"/>
        </w:rPr>
        <w:t xml:space="preserve"> &lt; .05</w:t>
      </w:r>
      <w:r w:rsidR="00FC679E">
        <w:rPr>
          <w:rFonts w:eastAsia="Times New Roman"/>
          <w:color w:val="000000"/>
          <w:sz w:val="20"/>
          <w:szCs w:val="20"/>
        </w:rPr>
        <w:t>.</w:t>
      </w:r>
      <w:r w:rsidRPr="00605672">
        <w:rPr>
          <w:rFonts w:eastAsia="Times New Roman"/>
          <w:color w:val="000000"/>
          <w:sz w:val="20"/>
          <w:szCs w:val="20"/>
        </w:rPr>
        <w:t xml:space="preserve"> *** </w:t>
      </w:r>
      <w:r w:rsidRPr="00605672">
        <w:rPr>
          <w:rFonts w:eastAsia="Times New Roman"/>
          <w:i/>
          <w:iCs/>
          <w:color w:val="000000"/>
          <w:sz w:val="20"/>
          <w:szCs w:val="20"/>
        </w:rPr>
        <w:t>p</w:t>
      </w:r>
      <w:r w:rsidRPr="00605672">
        <w:rPr>
          <w:rFonts w:eastAsia="Times New Roman"/>
          <w:color w:val="000000"/>
          <w:sz w:val="20"/>
          <w:szCs w:val="20"/>
        </w:rPr>
        <w:t xml:space="preserve"> &lt; .01</w:t>
      </w:r>
      <w:r w:rsidR="00FC679E">
        <w:rPr>
          <w:rFonts w:eastAsia="Times New Roman"/>
          <w:color w:val="000000"/>
          <w:sz w:val="20"/>
          <w:szCs w:val="20"/>
        </w:rPr>
        <w:t>.</w:t>
      </w:r>
    </w:p>
    <w:p w14:paraId="0E3B8A0F" w14:textId="21D55D5B" w:rsidR="004A1B6C" w:rsidRDefault="00FC679E" w:rsidP="00727D37">
      <w:pPr>
        <w:ind w:left="-806"/>
        <w:rPr>
          <w:rFonts w:eastAsia="Times New Roman"/>
          <w:color w:val="000000"/>
          <w:sz w:val="20"/>
          <w:szCs w:val="20"/>
        </w:rPr>
      </w:pPr>
      <w:r>
        <w:rPr>
          <w:rFonts w:eastAsia="Times New Roman"/>
          <w:color w:val="000000"/>
          <w:sz w:val="20"/>
          <w:szCs w:val="20"/>
        </w:rPr>
        <w:t xml:space="preserve">Notes: The significance levels are based on </w:t>
      </w:r>
      <w:r w:rsidR="00B10259" w:rsidRPr="00605672">
        <w:rPr>
          <w:rFonts w:eastAsia="Times New Roman"/>
          <w:color w:val="000000"/>
          <w:sz w:val="20"/>
          <w:szCs w:val="20"/>
        </w:rPr>
        <w:t>two-tailed test</w:t>
      </w:r>
      <w:r>
        <w:rPr>
          <w:rFonts w:eastAsia="Times New Roman"/>
          <w:color w:val="000000"/>
          <w:sz w:val="20"/>
          <w:szCs w:val="20"/>
        </w:rPr>
        <w:t>s</w:t>
      </w:r>
      <w:r w:rsidR="00B10259" w:rsidRPr="00605672">
        <w:rPr>
          <w:rFonts w:eastAsia="Times New Roman"/>
          <w:color w:val="000000"/>
          <w:sz w:val="20"/>
          <w:szCs w:val="20"/>
        </w:rPr>
        <w:t>, except where hypothesized</w:t>
      </w:r>
      <w:r>
        <w:rPr>
          <w:rFonts w:eastAsia="Times New Roman"/>
          <w:color w:val="000000"/>
          <w:sz w:val="20"/>
          <w:szCs w:val="20"/>
        </w:rPr>
        <w:t xml:space="preserve">. N </w:t>
      </w:r>
      <w:r w:rsidR="00D478B1" w:rsidRPr="00605672">
        <w:rPr>
          <w:rFonts w:eastAsia="Times New Roman"/>
          <w:color w:val="000000"/>
          <w:sz w:val="20"/>
          <w:szCs w:val="20"/>
        </w:rPr>
        <w:t>=</w:t>
      </w:r>
      <w:r>
        <w:rPr>
          <w:rFonts w:eastAsia="Times New Roman"/>
          <w:color w:val="000000"/>
          <w:sz w:val="20"/>
          <w:szCs w:val="20"/>
        </w:rPr>
        <w:t xml:space="preserve"> </w:t>
      </w:r>
      <w:r w:rsidR="008F0AA2" w:rsidRPr="00605672">
        <w:rPr>
          <w:rFonts w:eastAsia="Times New Roman"/>
          <w:color w:val="000000"/>
          <w:sz w:val="20"/>
          <w:szCs w:val="20"/>
        </w:rPr>
        <w:t>10</w:t>
      </w:r>
      <w:r w:rsidR="00C5275B" w:rsidRPr="00605672">
        <w:rPr>
          <w:rFonts w:eastAsia="Times New Roman"/>
          <w:color w:val="000000"/>
          <w:sz w:val="20"/>
          <w:szCs w:val="20"/>
        </w:rPr>
        <w:t>0</w:t>
      </w:r>
      <w:r>
        <w:rPr>
          <w:rFonts w:eastAsia="Times New Roman"/>
          <w:color w:val="000000"/>
          <w:sz w:val="20"/>
          <w:szCs w:val="20"/>
        </w:rPr>
        <w:t>. RSE = robust standard error.</w:t>
      </w:r>
    </w:p>
    <w:p w14:paraId="1D2C1A52" w14:textId="77777777" w:rsidR="002D2979" w:rsidRPr="00605672" w:rsidRDefault="002D2979">
      <w:pPr>
        <w:rPr>
          <w:b/>
        </w:rPr>
      </w:pPr>
      <w:r w:rsidRPr="00605672">
        <w:rPr>
          <w:b/>
        </w:rPr>
        <w:br w:type="page"/>
      </w:r>
    </w:p>
    <w:p w14:paraId="0A84BC16" w14:textId="57C7C3DE" w:rsidR="00F7035C" w:rsidRPr="00605672" w:rsidRDefault="00F7035C" w:rsidP="009D3A42">
      <w:pPr>
        <w:jc w:val="center"/>
        <w:rPr>
          <w:b/>
        </w:rPr>
      </w:pPr>
      <w:r w:rsidRPr="00605672">
        <w:rPr>
          <w:b/>
        </w:rPr>
        <w:lastRenderedPageBreak/>
        <w:t>Figure 1</w:t>
      </w:r>
      <w:r w:rsidR="00FC679E">
        <w:rPr>
          <w:b/>
        </w:rPr>
        <w:t xml:space="preserve">. </w:t>
      </w:r>
      <w:r w:rsidRPr="00605672">
        <w:rPr>
          <w:b/>
        </w:rPr>
        <w:t>Concep</w:t>
      </w:r>
      <w:r w:rsidR="007B601B" w:rsidRPr="00605672">
        <w:rPr>
          <w:b/>
        </w:rPr>
        <w:t>tual F</w:t>
      </w:r>
      <w:r w:rsidRPr="00605672">
        <w:rPr>
          <w:b/>
        </w:rPr>
        <w:t>ramework</w:t>
      </w:r>
    </w:p>
    <w:p w14:paraId="21305AD5" w14:textId="46681641" w:rsidR="00B17859" w:rsidRPr="00605672" w:rsidRDefault="00D90DFD" w:rsidP="00B17859">
      <w:pPr>
        <w:jc w:val="center"/>
        <w:rPr>
          <w:b/>
        </w:rPr>
      </w:pPr>
      <w:r>
        <w:rPr>
          <w:noProof/>
          <w:lang w:val="nb-NO" w:eastAsia="nb-NO"/>
        </w:rPr>
        <mc:AlternateContent>
          <mc:Choice Requires="wps">
            <w:drawing>
              <wp:anchor distT="0" distB="0" distL="114290" distR="114290" simplePos="0" relativeHeight="251686400" behindDoc="0" locked="0" layoutInCell="1" allowOverlap="1" wp14:anchorId="10BD42AE" wp14:editId="303A44A4">
                <wp:simplePos x="0" y="0"/>
                <wp:positionH relativeFrom="column">
                  <wp:posOffset>3371849</wp:posOffset>
                </wp:positionH>
                <wp:positionV relativeFrom="paragraph">
                  <wp:posOffset>176530</wp:posOffset>
                </wp:positionV>
                <wp:extent cx="0" cy="2038350"/>
                <wp:effectExtent l="95250" t="0" r="38100" b="38100"/>
                <wp:wrapNone/>
                <wp:docPr id="41"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038350"/>
                        </a:xfrm>
                        <a:prstGeom prst="line">
                          <a:avLst/>
                        </a:prstGeom>
                        <a:noFill/>
                        <a:ln w="12700">
                          <a:solidFill>
                            <a:srgbClr val="000000"/>
                          </a:solidFill>
                          <a:round/>
                          <a:headEnd/>
                          <a:tailEnd type="triangle" w="lg" len="lg"/>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58CE4A5E" id="Line 218" o:spid="_x0000_s1026" style="position:absolute;flip:x;z-index:251686400;visibility:visible;mso-wrap-style:square;mso-width-percent:0;mso-height-percent:0;mso-wrap-distance-left:3.17472mm;mso-wrap-distance-top:0;mso-wrap-distance-right:3.17472mm;mso-wrap-distance-bottom:0;mso-position-horizontal:absolute;mso-position-horizontal-relative:text;mso-position-vertical:absolute;mso-position-vertical-relative:text;mso-width-percent:0;mso-height-percent:0;mso-width-relative:page;mso-height-relative:page" from="265.5pt,13.9pt" to="265.5pt,1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" strokeweight="1pt">
                <v:stroke endarrow="block" endarrowwidth="wide" endarrowlength="long"/>
                <o:lock v:ext="edit" shapetype="f"/>
              </v:line>
            </w:pict>
          </mc:Fallback>
        </mc:AlternateContent>
      </w:r>
      <w:r>
        <w:rPr>
          <w:noProof/>
          <w:lang w:val="nb-NO" w:eastAsia="nb-NO"/>
        </w:rPr>
        <mc:AlternateContent>
          <mc:Choice Requires="wps">
            <w:drawing>
              <wp:anchor distT="0" distB="0" distL="114300" distR="114300" simplePos="0" relativeHeight="251680256" behindDoc="0" locked="0" layoutInCell="1" allowOverlap="1" wp14:anchorId="47B3B4B3" wp14:editId="732B724A">
                <wp:simplePos x="0" y="0"/>
                <wp:positionH relativeFrom="column">
                  <wp:posOffset>-86360</wp:posOffset>
                </wp:positionH>
                <wp:positionV relativeFrom="paragraph">
                  <wp:posOffset>48260</wp:posOffset>
                </wp:positionV>
                <wp:extent cx="1392555" cy="650240"/>
                <wp:effectExtent l="0" t="0" r="0" b="0"/>
                <wp:wrapNone/>
                <wp:docPr id="42"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2555" cy="650240"/>
                        </a:xfrm>
                        <a:prstGeom prst="rect">
                          <a:avLst/>
                        </a:prstGeom>
                        <a:noFill/>
                        <a:ln w="12700">
                          <a:solidFill>
                            <a:srgbClr val="000000"/>
                          </a:solidFill>
                          <a:miter lim="800000"/>
                          <a:headEnd/>
                          <a:tailEnd/>
                        </a:ln>
                        <a:extLst>
                          <a:ext uri="{909E8E84-426E-40dd-AFC4-6F175D3DCCD1}"/>
                        </a:extLst>
                      </wps:spPr>
                      <wps:txbx>
                        <w:txbxContent>
                          <w:p w14:paraId="542BFB3E" w14:textId="77777777" w:rsidR="004A1B6C" w:rsidRDefault="004A1B6C" w:rsidP="00B17859">
                            <w:pPr>
                              <w:jc w:val="center"/>
                              <w:rPr>
                                <w:b/>
                                <w:sz w:val="20"/>
                                <w:szCs w:val="20"/>
                              </w:rPr>
                            </w:pPr>
                            <w:r>
                              <w:rPr>
                                <w:b/>
                                <w:sz w:val="20"/>
                                <w:szCs w:val="20"/>
                              </w:rPr>
                              <w:t>Reseller Selection Efforts at Time 1</w:t>
                            </w:r>
                          </w:p>
                          <w:p w14:paraId="36526559" w14:textId="77777777" w:rsidR="004A1B6C" w:rsidRDefault="004A1B6C" w:rsidP="00B17859">
                            <w:pPr>
                              <w:jc w:val="center"/>
                              <w:rPr>
                                <w:b/>
                                <w:sz w:val="20"/>
                                <w:szCs w:val="20"/>
                              </w:rPr>
                            </w:pPr>
                            <w:r>
                              <w:rPr>
                                <w:b/>
                                <w:sz w:val="20"/>
                                <w:szCs w:val="20"/>
                              </w:rPr>
                              <w:t>(SSELT1)</w:t>
                            </w:r>
                          </w:p>
                          <w:p w14:paraId="1206C96C" w14:textId="77777777" w:rsidR="004A1B6C" w:rsidRPr="00057FA1" w:rsidRDefault="004A1B6C" w:rsidP="00B17859">
                            <w:pPr>
                              <w:rPr>
                                <w:b/>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B3B4B3" id="Rectangle 211" o:spid="_x0000_s1026" style="position:absolute;left:0;text-align:left;margin-left:-6.8pt;margin-top:3.8pt;width:109.65pt;height:5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" filled="f" strokeweight="1pt">
                <v:path arrowok="t"/>
                <v:textbox>
                  <w:txbxContent>
                    <w:p w14:paraId="542BFB3E" w14:textId="77777777" w:rsidR="004A1B6C" w:rsidRDefault="004A1B6C" w:rsidP="00B17859">
                      <w:pPr>
                        <w:jc w:val="center"/>
                        <w:rPr>
                          <w:b/>
                          <w:sz w:val="20"/>
                          <w:szCs w:val="20"/>
                        </w:rPr>
                      </w:pPr>
                      <w:r>
                        <w:rPr>
                          <w:b/>
                          <w:sz w:val="20"/>
                          <w:szCs w:val="20"/>
                        </w:rPr>
                        <w:t>Reseller Selection Efforts at Time 1</w:t>
                      </w:r>
                    </w:p>
                    <w:p w14:paraId="36526559" w14:textId="77777777" w:rsidR="004A1B6C" w:rsidRDefault="004A1B6C" w:rsidP="00B17859">
                      <w:pPr>
                        <w:jc w:val="center"/>
                        <w:rPr>
                          <w:b/>
                          <w:sz w:val="20"/>
                          <w:szCs w:val="20"/>
                        </w:rPr>
                      </w:pPr>
                      <w:r>
                        <w:rPr>
                          <w:b/>
                          <w:sz w:val="20"/>
                          <w:szCs w:val="20"/>
                        </w:rPr>
                        <w:t>(SSELT1)</w:t>
                      </w:r>
                    </w:p>
                    <w:p w14:paraId="1206C96C" w14:textId="77777777" w:rsidR="004A1B6C" w:rsidRPr="00057FA1" w:rsidRDefault="004A1B6C" w:rsidP="00B17859">
                      <w:pPr>
                        <w:rPr>
                          <w:b/>
                          <w:sz w:val="20"/>
                          <w:szCs w:val="20"/>
                        </w:rPr>
                      </w:pPr>
                    </w:p>
                  </w:txbxContent>
                </v:textbox>
              </v:rect>
            </w:pict>
          </mc:Fallback>
        </mc:AlternateContent>
      </w:r>
    </w:p>
    <w:p w14:paraId="571951C1" w14:textId="5B1B87E5" w:rsidR="00B17859" w:rsidRPr="00605672" w:rsidRDefault="00D90DFD" w:rsidP="00B17859">
      <w:pPr>
        <w:jc w:val="center"/>
        <w:rPr>
          <w:b/>
        </w:rPr>
      </w:pPr>
      <w:r>
        <w:rPr>
          <w:noProof/>
          <w:sz w:val="20"/>
          <w:szCs w:val="20"/>
          <w:lang w:val="nb-NO" w:eastAsia="nb-NO"/>
        </w:rPr>
        <mc:AlternateContent>
          <mc:Choice Requires="wps">
            <w:drawing>
              <wp:anchor distT="0" distB="0" distL="114300" distR="114300" simplePos="0" relativeHeight="251673088" behindDoc="0" locked="0" layoutInCell="1" allowOverlap="1" wp14:anchorId="5428064D" wp14:editId="164B201C">
                <wp:simplePos x="0" y="0"/>
                <wp:positionH relativeFrom="column">
                  <wp:posOffset>5454650</wp:posOffset>
                </wp:positionH>
                <wp:positionV relativeFrom="paragraph">
                  <wp:posOffset>2540</wp:posOffset>
                </wp:positionV>
                <wp:extent cx="635" cy="3056890"/>
                <wp:effectExtent l="0" t="0" r="18415" b="10160"/>
                <wp:wrapNone/>
                <wp:docPr id="40"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3056890"/>
                        </a:xfrm>
                        <a:prstGeom prst="line">
                          <a:avLst/>
                        </a:prstGeom>
                        <a:noFill/>
                        <a:ln w="12700">
                          <a:solidFill>
                            <a:srgbClr val="000000"/>
                          </a:solidFill>
                          <a:round/>
                          <a:headEnd/>
                          <a:tailEnd type="none" w="lg" len="lg"/>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24B21448" id="Line 224"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5pt,.2pt" to="429.55pt,2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" strokeweight="1pt">
                <v:stroke endarrowwidth="wide" endarrowlength="long"/>
                <o:lock v:ext="edit" shapetype="f"/>
              </v:line>
            </w:pict>
          </mc:Fallback>
        </mc:AlternateContent>
      </w:r>
      <w:r>
        <w:rPr>
          <w:noProof/>
          <w:lang w:val="nb-NO" w:eastAsia="nb-NO"/>
        </w:rPr>
        <mc:AlternateContent>
          <mc:Choice Requires="wps">
            <w:drawing>
              <wp:anchor distT="4294967294" distB="4294967294" distL="114300" distR="114300" simplePos="0" relativeHeight="251682304" behindDoc="0" locked="0" layoutInCell="1" allowOverlap="1" wp14:anchorId="1E86988F" wp14:editId="0A7EC3A6">
                <wp:simplePos x="0" y="0"/>
                <wp:positionH relativeFrom="column">
                  <wp:posOffset>1299845</wp:posOffset>
                </wp:positionH>
                <wp:positionV relativeFrom="paragraph">
                  <wp:posOffset>2539</wp:posOffset>
                </wp:positionV>
                <wp:extent cx="4154805" cy="0"/>
                <wp:effectExtent l="0" t="0" r="17145" b="0"/>
                <wp:wrapNone/>
                <wp:docPr id="39"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154805" cy="0"/>
                        </a:xfrm>
                        <a:prstGeom prst="line">
                          <a:avLst/>
                        </a:prstGeom>
                        <a:noFill/>
                        <a:ln w="12700">
                          <a:solidFill>
                            <a:srgbClr val="000000"/>
                          </a:solidFill>
                          <a:round/>
                          <a:headEnd/>
                          <a:tailEnd type="none" w="lg" len="lg"/>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035A6847" id="Line 213" o:spid="_x0000_s1026" style="position:absolute;flip:y;z-index:251682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2.35pt,.2pt" to="42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" strokeweight="1pt">
                <v:stroke endarrowwidth="wide" endarrowlength="long"/>
                <o:lock v:ext="edit" shapetype="f"/>
              </v:line>
            </w:pict>
          </mc:Fallback>
        </mc:AlternateContent>
      </w:r>
    </w:p>
    <w:p w14:paraId="016231AF" w14:textId="77777777" w:rsidR="00B17859" w:rsidRPr="00605672" w:rsidRDefault="00B17859" w:rsidP="00B17859">
      <w:pPr>
        <w:jc w:val="center"/>
      </w:pPr>
    </w:p>
    <w:p w14:paraId="2F18AE83" w14:textId="198AB502" w:rsidR="00B17859" w:rsidRPr="00605672" w:rsidRDefault="00D90DFD" w:rsidP="00B17859">
      <w:r>
        <w:rPr>
          <w:noProof/>
          <w:lang w:val="nb-NO" w:eastAsia="nb-NO"/>
        </w:rPr>
        <mc:AlternateContent>
          <mc:Choice Requires="wps">
            <w:drawing>
              <wp:anchor distT="0" distB="0" distL="114288" distR="114288" simplePos="0" relativeHeight="251677184" behindDoc="0" locked="0" layoutInCell="1" allowOverlap="1" wp14:anchorId="2C975E99" wp14:editId="4B0F0048">
                <wp:simplePos x="0" y="0"/>
                <wp:positionH relativeFrom="column">
                  <wp:posOffset>554989</wp:posOffset>
                </wp:positionH>
                <wp:positionV relativeFrom="paragraph">
                  <wp:posOffset>171450</wp:posOffset>
                </wp:positionV>
                <wp:extent cx="0" cy="1224915"/>
                <wp:effectExtent l="95250" t="0" r="38100" b="32385"/>
                <wp:wrapNone/>
                <wp:docPr id="38"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24915"/>
                        </a:xfrm>
                        <a:prstGeom prst="line">
                          <a:avLst/>
                        </a:prstGeom>
                        <a:noFill/>
                        <a:ln w="12700">
                          <a:solidFill>
                            <a:srgbClr val="000000"/>
                          </a:solidFill>
                          <a:round/>
                          <a:headEnd/>
                          <a:tailEnd type="triangle" w="lg" len="lg"/>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0F903A16" id="Line 207" o:spid="_x0000_s1026" style="position:absolute;z-index:251677184;visibility:visible;mso-wrap-style:square;mso-width-percent:0;mso-height-percent:0;mso-wrap-distance-left:3.17467mm;mso-wrap-distance-top:0;mso-wrap-distance-right:3.17467mm;mso-wrap-distance-bottom:0;mso-position-horizontal:absolute;mso-position-horizontal-relative:text;mso-position-vertical:absolute;mso-position-vertical-relative:text;mso-width-percent:0;mso-height-percent:0;mso-width-relative:page;mso-height-relative:page" from="43.7pt,13.5pt" to="43.7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" strokeweight="1pt">
                <v:stroke endarrow="block" endarrowwidth="wide" endarrowlength="long"/>
                <o:lock v:ext="edit" shapetype="f"/>
              </v:line>
            </w:pict>
          </mc:Fallback>
        </mc:AlternateContent>
      </w:r>
      <w:r w:rsidR="00B17859" w:rsidRPr="00605672">
        <w:tab/>
      </w:r>
      <w:r w:rsidR="00B17859" w:rsidRPr="00605672">
        <w:tab/>
      </w:r>
    </w:p>
    <w:p w14:paraId="60EBAA4F" w14:textId="77777777" w:rsidR="00B17859" w:rsidRPr="00605672" w:rsidRDefault="00B17859" w:rsidP="00B17859"/>
    <w:p w14:paraId="4BF1926B" w14:textId="77777777" w:rsidR="00B17859" w:rsidRPr="00605672" w:rsidRDefault="00B17859" w:rsidP="00B17859"/>
    <w:p w14:paraId="0D8B02D1" w14:textId="77777777" w:rsidR="00B17859" w:rsidRPr="00605672" w:rsidRDefault="00B17859" w:rsidP="00B17859">
      <w:r w:rsidRPr="00605672">
        <w:tab/>
      </w:r>
      <w:r w:rsidRPr="00605672">
        <w:tab/>
      </w:r>
    </w:p>
    <w:p w14:paraId="28F7CDA4" w14:textId="087BCDDB" w:rsidR="00B17859" w:rsidRPr="00605672" w:rsidRDefault="00D90DFD" w:rsidP="00B17859">
      <w:pPr>
        <w:rPr>
          <w:b/>
        </w:rPr>
      </w:pPr>
      <w:r>
        <w:rPr>
          <w:noProof/>
          <w:lang w:val="nb-NO" w:eastAsia="nb-NO"/>
        </w:rPr>
        <mc:AlternateContent>
          <mc:Choice Requires="wps">
            <w:drawing>
              <wp:anchor distT="0" distB="0" distL="114300" distR="114300" simplePos="0" relativeHeight="251676160" behindDoc="0" locked="0" layoutInCell="1" allowOverlap="1" wp14:anchorId="4614D359" wp14:editId="2B842B3F">
                <wp:simplePos x="0" y="0"/>
                <wp:positionH relativeFrom="column">
                  <wp:posOffset>2835275</wp:posOffset>
                </wp:positionH>
                <wp:positionV relativeFrom="paragraph">
                  <wp:posOffset>91440</wp:posOffset>
                </wp:positionV>
                <wp:extent cx="747395" cy="335280"/>
                <wp:effectExtent l="0" t="0" r="0" b="0"/>
                <wp:wrapNone/>
                <wp:docPr id="37"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7395" cy="335280"/>
                        </a:xfrm>
                        <a:prstGeom prst="rect">
                          <a:avLst/>
                        </a:prstGeom>
                        <a:noFill/>
                        <a:ln>
                          <a:noFill/>
                        </a:ln>
                        <a:extLst>
                          <a:ext uri="{909E8E84-426E-40dd-AFC4-6F175D3DCCD1}"/>
                          <a:ext uri="{91240B29-F687-4f45-9708-019B960494DF}"/>
                        </a:extLst>
                      </wps:spPr>
                      <wps:txbx>
                        <w:txbxContent>
                          <w:p w14:paraId="601BB514" w14:textId="77777777" w:rsidR="004A1B6C" w:rsidRPr="003F0F33" w:rsidRDefault="004A1B6C" w:rsidP="00B17859">
                            <w:pPr>
                              <w:rPr>
                                <w:b/>
                                <w:sz w:val="20"/>
                                <w:szCs w:val="20"/>
                              </w:rPr>
                            </w:pPr>
                            <w:r w:rsidRPr="003F0F33">
                              <w:rPr>
                                <w:b/>
                                <w:sz w:val="20"/>
                                <w:szCs w:val="20"/>
                              </w:rPr>
                              <w:t>H</w:t>
                            </w:r>
                            <w:r>
                              <w:rPr>
                                <w:b/>
                                <w:sz w:val="20"/>
                                <w:szCs w:val="20"/>
                              </w:rPr>
                              <w:t>3a</w:t>
                            </w:r>
                            <w:r w:rsidRPr="003F0F33">
                              <w:rPr>
                                <w:b/>
                                <w:sz w:val="20"/>
                                <w:szCs w:val="20"/>
                              </w:rPr>
                              <w:t xml:space="preserve"> (</w:t>
                            </w:r>
                            <w:r>
                              <w:rPr>
                                <w:b/>
                                <w:sz w:val="20"/>
                                <w:szCs w:val="20"/>
                              </w:rPr>
                              <w:t>-</w:t>
                            </w:r>
                            <w:r w:rsidRPr="003F0F33">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4D359" id="Rectangle 201" o:spid="_x0000_s1027" style="position:absolute;margin-left:223.25pt;margin-top:7.2pt;width:58.85pt;height:26.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" filled="f" stroked="f">
                <v:path arrowok="t"/>
                <v:textbox>
                  <w:txbxContent>
                    <w:p w14:paraId="601BB514" w14:textId="77777777" w:rsidR="004A1B6C" w:rsidRPr="003F0F33" w:rsidRDefault="004A1B6C" w:rsidP="00B17859">
                      <w:pPr>
                        <w:rPr>
                          <w:b/>
                          <w:sz w:val="20"/>
                          <w:szCs w:val="20"/>
                        </w:rPr>
                      </w:pPr>
                      <w:r w:rsidRPr="003F0F33">
                        <w:rPr>
                          <w:b/>
                          <w:sz w:val="20"/>
                          <w:szCs w:val="20"/>
                        </w:rPr>
                        <w:t>H</w:t>
                      </w:r>
                      <w:r>
                        <w:rPr>
                          <w:b/>
                          <w:sz w:val="20"/>
                          <w:szCs w:val="20"/>
                        </w:rPr>
                        <w:t>3a</w:t>
                      </w:r>
                      <w:r w:rsidRPr="003F0F33">
                        <w:rPr>
                          <w:b/>
                          <w:sz w:val="20"/>
                          <w:szCs w:val="20"/>
                        </w:rPr>
                        <w:t xml:space="preserve"> (</w:t>
                      </w:r>
                      <w:r>
                        <w:rPr>
                          <w:b/>
                          <w:sz w:val="20"/>
                          <w:szCs w:val="20"/>
                        </w:rPr>
                        <w:t>-</w:t>
                      </w:r>
                      <w:r w:rsidRPr="003F0F33">
                        <w:rPr>
                          <w:b/>
                          <w:sz w:val="20"/>
                          <w:szCs w:val="20"/>
                        </w:rPr>
                        <w:t xml:space="preserve">) </w:t>
                      </w:r>
                    </w:p>
                  </w:txbxContent>
                </v:textbox>
              </v:rect>
            </w:pict>
          </mc:Fallback>
        </mc:AlternateContent>
      </w:r>
      <w:r>
        <w:rPr>
          <w:noProof/>
          <w:lang w:val="nb-NO" w:eastAsia="nb-NO"/>
        </w:rPr>
        <mc:AlternateContent>
          <mc:Choice Requires="wps">
            <w:drawing>
              <wp:anchor distT="0" distB="0" distL="114300" distR="114300" simplePos="0" relativeHeight="251675136" behindDoc="0" locked="0" layoutInCell="1" allowOverlap="1" wp14:anchorId="27FCC6EA" wp14:editId="75E336B6">
                <wp:simplePos x="0" y="0"/>
                <wp:positionH relativeFrom="column">
                  <wp:posOffset>92075</wp:posOffset>
                </wp:positionH>
                <wp:positionV relativeFrom="paragraph">
                  <wp:posOffset>0</wp:posOffset>
                </wp:positionV>
                <wp:extent cx="850900" cy="335280"/>
                <wp:effectExtent l="0" t="0" r="0" b="0"/>
                <wp:wrapNone/>
                <wp:docPr id="36"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335280"/>
                        </a:xfrm>
                        <a:prstGeom prst="rect">
                          <a:avLst/>
                        </a:prstGeom>
                        <a:noFill/>
                        <a:ln>
                          <a:noFill/>
                        </a:ln>
                        <a:extLst>
                          <a:ext uri="{909E8E84-426E-40dd-AFC4-6F175D3DCCD1}"/>
                          <a:ext uri="{91240B29-F687-4f45-9708-019B960494DF}"/>
                        </a:extLst>
                      </wps:spPr>
                      <wps:txbx>
                        <w:txbxContent>
                          <w:p w14:paraId="42E027A6" w14:textId="77777777" w:rsidR="004A1B6C" w:rsidRPr="003F0F33" w:rsidRDefault="004A1B6C" w:rsidP="00B17859">
                            <w:pPr>
                              <w:rPr>
                                <w:b/>
                                <w:sz w:val="20"/>
                                <w:szCs w:val="20"/>
                              </w:rPr>
                            </w:pPr>
                            <w:r>
                              <w:rPr>
                                <w:b/>
                                <w:sz w:val="20"/>
                                <w:szCs w:val="20"/>
                              </w:rPr>
                              <w:t>H1</w:t>
                            </w:r>
                            <w:r w:rsidRPr="003F0F33">
                              <w:rPr>
                                <w:b/>
                                <w:sz w:val="20"/>
                                <w:szCs w:val="20"/>
                              </w:rPr>
                              <w:t>(</w:t>
                            </w:r>
                            <w:r>
                              <w:rPr>
                                <w:b/>
                                <w:sz w:val="20"/>
                                <w:szCs w:val="20"/>
                              </w:rPr>
                              <w:t>+</w:t>
                            </w:r>
                            <w:r w:rsidRPr="003F0F33">
                              <w:rPr>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CC6EA" id="Rectangle 199" o:spid="_x0000_s1028" style="position:absolute;margin-left:7.25pt;margin-top:0;width:67pt;height:26.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" filled="f" stroked="f">
                <v:path arrowok="t"/>
                <v:textbox>
                  <w:txbxContent>
                    <w:p w14:paraId="42E027A6" w14:textId="77777777" w:rsidR="004A1B6C" w:rsidRPr="003F0F33" w:rsidRDefault="004A1B6C" w:rsidP="00B17859">
                      <w:pPr>
                        <w:rPr>
                          <w:b/>
                          <w:sz w:val="20"/>
                          <w:szCs w:val="20"/>
                        </w:rPr>
                      </w:pPr>
                      <w:r>
                        <w:rPr>
                          <w:b/>
                          <w:sz w:val="20"/>
                          <w:szCs w:val="20"/>
                        </w:rPr>
                        <w:t>H1</w:t>
                      </w:r>
                      <w:r w:rsidRPr="003F0F33">
                        <w:rPr>
                          <w:b/>
                          <w:sz w:val="20"/>
                          <w:szCs w:val="20"/>
                        </w:rPr>
                        <w:t>(</w:t>
                      </w:r>
                      <w:r>
                        <w:rPr>
                          <w:b/>
                          <w:sz w:val="20"/>
                          <w:szCs w:val="20"/>
                        </w:rPr>
                        <w:t>+</w:t>
                      </w:r>
                      <w:r w:rsidRPr="003F0F33">
                        <w:rPr>
                          <w:b/>
                          <w:sz w:val="20"/>
                          <w:szCs w:val="20"/>
                        </w:rPr>
                        <w:t>)</w:t>
                      </w:r>
                    </w:p>
                  </w:txbxContent>
                </v:textbox>
              </v:rect>
            </w:pict>
          </mc:Fallback>
        </mc:AlternateContent>
      </w:r>
      <w:r w:rsidR="00B17859" w:rsidRPr="00605672">
        <w:tab/>
        <w:t xml:space="preserve"> </w:t>
      </w:r>
    </w:p>
    <w:p w14:paraId="4598CB85" w14:textId="77777777" w:rsidR="00B17859" w:rsidRPr="00605672" w:rsidRDefault="00B17859" w:rsidP="00B17859">
      <w:pPr>
        <w:tabs>
          <w:tab w:val="left" w:pos="1305"/>
          <w:tab w:val="center" w:pos="4968"/>
        </w:tabs>
      </w:pPr>
      <w:r w:rsidRPr="00605672">
        <w:tab/>
      </w:r>
      <w:r w:rsidRPr="00605672">
        <w:tab/>
      </w:r>
    </w:p>
    <w:p w14:paraId="11C476F9" w14:textId="77777777" w:rsidR="00B17859" w:rsidRPr="00605672" w:rsidRDefault="00B17859" w:rsidP="00B17859">
      <w:pPr>
        <w:jc w:val="center"/>
      </w:pPr>
    </w:p>
    <w:p w14:paraId="3914F723" w14:textId="07E86A9C" w:rsidR="00B17859" w:rsidRPr="00605672" w:rsidRDefault="00D90DFD" w:rsidP="00B17859">
      <w:pPr>
        <w:jc w:val="center"/>
      </w:pPr>
      <w:r>
        <w:rPr>
          <w:noProof/>
          <w:lang w:val="nb-NO" w:eastAsia="nb-NO"/>
        </w:rPr>
        <mc:AlternateContent>
          <mc:Choice Requires="wps">
            <w:drawing>
              <wp:anchor distT="0" distB="0" distL="114300" distR="114300" simplePos="0" relativeHeight="251674112" behindDoc="0" locked="0" layoutInCell="1" allowOverlap="1" wp14:anchorId="2767C0B9" wp14:editId="0218AE6E">
                <wp:simplePos x="0" y="0"/>
                <wp:positionH relativeFrom="column">
                  <wp:posOffset>6993890</wp:posOffset>
                </wp:positionH>
                <wp:positionV relativeFrom="paragraph">
                  <wp:posOffset>111125</wp:posOffset>
                </wp:positionV>
                <wp:extent cx="1447165" cy="685800"/>
                <wp:effectExtent l="0" t="0" r="635" b="0"/>
                <wp:wrapNone/>
                <wp:docPr id="3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165" cy="685800"/>
                        </a:xfrm>
                        <a:prstGeom prst="rect">
                          <a:avLst/>
                        </a:prstGeom>
                        <a:noFill/>
                        <a:ln w="12700">
                          <a:solidFill>
                            <a:srgbClr val="000000"/>
                          </a:solidFill>
                          <a:miter lim="800000"/>
                          <a:headEnd/>
                          <a:tailEnd/>
                        </a:ln>
                        <a:effectLst/>
                        <a:extLst>
                          <a:ext uri="{909E8E84-426E-40dd-AFC4-6F175D3DCCD1}"/>
                          <a:ext uri="{AF507438-7753-43e0-B8FC-AC1667EBCBE1}"/>
                        </a:extLst>
                      </wps:spPr>
                      <wps:txbx>
                        <w:txbxContent>
                          <w:p w14:paraId="289CD495" w14:textId="77777777" w:rsidR="004A1B6C" w:rsidRDefault="004A1B6C" w:rsidP="00B17859">
                            <w:pPr>
                              <w:jc w:val="center"/>
                              <w:rPr>
                                <w:b/>
                                <w:sz w:val="20"/>
                                <w:szCs w:val="20"/>
                              </w:rPr>
                            </w:pPr>
                            <w:r w:rsidRPr="00FD23CF">
                              <w:rPr>
                                <w:b/>
                                <w:i/>
                                <w:sz w:val="20"/>
                                <w:szCs w:val="20"/>
                              </w:rPr>
                              <w:t xml:space="preserve">Ex Post </w:t>
                            </w:r>
                            <w:r w:rsidRPr="0086166F">
                              <w:rPr>
                                <w:b/>
                                <w:sz w:val="20"/>
                                <w:szCs w:val="20"/>
                              </w:rPr>
                              <w:t>Transaction Costs</w:t>
                            </w:r>
                            <w:r>
                              <w:rPr>
                                <w:b/>
                                <w:sz w:val="20"/>
                                <w:szCs w:val="20"/>
                              </w:rPr>
                              <w:t xml:space="preserve"> at Time 2</w:t>
                            </w:r>
                          </w:p>
                          <w:p w14:paraId="23941965" w14:textId="77777777" w:rsidR="004A1B6C" w:rsidRPr="00057FA1" w:rsidRDefault="004A1B6C" w:rsidP="00B17859">
                            <w:pPr>
                              <w:jc w:val="center"/>
                              <w:rPr>
                                <w:b/>
                                <w:sz w:val="20"/>
                                <w:szCs w:val="20"/>
                              </w:rPr>
                            </w:pPr>
                            <w:r>
                              <w:rPr>
                                <w:b/>
                                <w:sz w:val="20"/>
                                <w:szCs w:val="20"/>
                              </w:rPr>
                              <w:t>(STCT2)</w:t>
                            </w:r>
                          </w:p>
                          <w:p w14:paraId="039EF330" w14:textId="77777777" w:rsidR="004A1B6C" w:rsidRDefault="004A1B6C" w:rsidP="00B17859">
                            <w:pPr>
                              <w:jc w:val="center"/>
                              <w:rPr>
                                <w:b/>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67C0B9" id="Rectangle 194" o:spid="_x0000_s1029" style="position:absolute;left:0;text-align:left;margin-left:550.7pt;margin-top:8.75pt;width:113.95pt;height:5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" filled="f" strokeweight="1pt">
                <v:path arrowok="t"/>
                <v:textbox>
                  <w:txbxContent>
                    <w:p w14:paraId="289CD495" w14:textId="77777777" w:rsidR="004A1B6C" w:rsidRDefault="004A1B6C" w:rsidP="00B17859">
                      <w:pPr>
                        <w:jc w:val="center"/>
                        <w:rPr>
                          <w:b/>
                          <w:sz w:val="20"/>
                          <w:szCs w:val="20"/>
                        </w:rPr>
                      </w:pPr>
                      <w:r w:rsidRPr="00FD23CF">
                        <w:rPr>
                          <w:b/>
                          <w:i/>
                          <w:sz w:val="20"/>
                          <w:szCs w:val="20"/>
                        </w:rPr>
                        <w:t xml:space="preserve">Ex Post </w:t>
                      </w:r>
                      <w:r w:rsidRPr="0086166F">
                        <w:rPr>
                          <w:b/>
                          <w:sz w:val="20"/>
                          <w:szCs w:val="20"/>
                        </w:rPr>
                        <w:t>Transaction Costs</w:t>
                      </w:r>
                      <w:r>
                        <w:rPr>
                          <w:b/>
                          <w:sz w:val="20"/>
                          <w:szCs w:val="20"/>
                        </w:rPr>
                        <w:t xml:space="preserve"> at Time 2</w:t>
                      </w:r>
                    </w:p>
                    <w:p w14:paraId="23941965" w14:textId="77777777" w:rsidR="004A1B6C" w:rsidRPr="00057FA1" w:rsidRDefault="004A1B6C" w:rsidP="00B17859">
                      <w:pPr>
                        <w:jc w:val="center"/>
                        <w:rPr>
                          <w:b/>
                          <w:sz w:val="20"/>
                          <w:szCs w:val="20"/>
                        </w:rPr>
                      </w:pPr>
                      <w:r>
                        <w:rPr>
                          <w:b/>
                          <w:sz w:val="20"/>
                          <w:szCs w:val="20"/>
                        </w:rPr>
                        <w:t>(STCT2)</w:t>
                      </w:r>
                    </w:p>
                    <w:p w14:paraId="039EF330" w14:textId="77777777" w:rsidR="004A1B6C" w:rsidRDefault="004A1B6C" w:rsidP="00B17859">
                      <w:pPr>
                        <w:jc w:val="center"/>
                        <w:rPr>
                          <w:b/>
                          <w:sz w:val="20"/>
                          <w:szCs w:val="20"/>
                        </w:rPr>
                      </w:pPr>
                    </w:p>
                  </w:txbxContent>
                </v:textbox>
              </v:rect>
            </w:pict>
          </mc:Fallback>
        </mc:AlternateContent>
      </w:r>
      <w:r>
        <w:rPr>
          <w:noProof/>
          <w:lang w:val="nb-NO" w:eastAsia="nb-NO"/>
        </w:rPr>
        <mc:AlternateContent>
          <mc:Choice Requires="wps">
            <w:drawing>
              <wp:anchor distT="0" distB="0" distL="114300" distR="114300" simplePos="0" relativeHeight="251681280" behindDoc="0" locked="0" layoutInCell="1" allowOverlap="1" wp14:anchorId="52593825" wp14:editId="0BAF3569">
                <wp:simplePos x="0" y="0"/>
                <wp:positionH relativeFrom="column">
                  <wp:posOffset>-86360</wp:posOffset>
                </wp:positionH>
                <wp:positionV relativeFrom="paragraph">
                  <wp:posOffset>170180</wp:posOffset>
                </wp:positionV>
                <wp:extent cx="1509395" cy="620395"/>
                <wp:effectExtent l="0" t="0" r="0" b="8255"/>
                <wp:wrapNone/>
                <wp:docPr id="34"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9395" cy="620395"/>
                        </a:xfrm>
                        <a:prstGeom prst="rect">
                          <a:avLst/>
                        </a:prstGeom>
                        <a:noFill/>
                        <a:ln w="12700">
                          <a:solidFill>
                            <a:srgbClr val="000000"/>
                          </a:solidFill>
                          <a:miter lim="800000"/>
                          <a:headEnd/>
                          <a:tailEnd/>
                        </a:ln>
                        <a:effectLst/>
                        <a:extLst>
                          <a:ext uri="{909E8E84-426E-40dd-AFC4-6F175D3DCCD1}"/>
                          <a:ext uri="{AF507438-7753-43e0-B8FC-AC1667EBCBE1}"/>
                        </a:extLst>
                      </wps:spPr>
                      <wps:txbx>
                        <w:txbxContent>
                          <w:p w14:paraId="64BD32EF" w14:textId="77777777" w:rsidR="004A1B6C" w:rsidRDefault="004A1B6C" w:rsidP="00B17859">
                            <w:pPr>
                              <w:jc w:val="center"/>
                              <w:rPr>
                                <w:b/>
                                <w:sz w:val="20"/>
                                <w:szCs w:val="20"/>
                              </w:rPr>
                            </w:pPr>
                            <w:r>
                              <w:rPr>
                                <w:b/>
                                <w:sz w:val="20"/>
                                <w:szCs w:val="20"/>
                              </w:rPr>
                              <w:t>Supplier Incremental Investments at Time 2</w:t>
                            </w:r>
                          </w:p>
                          <w:p w14:paraId="4957F123" w14:textId="77777777" w:rsidR="004A1B6C" w:rsidRDefault="004A1B6C" w:rsidP="00B17859">
                            <w:pPr>
                              <w:jc w:val="center"/>
                              <w:rPr>
                                <w:b/>
                                <w:sz w:val="20"/>
                                <w:szCs w:val="20"/>
                              </w:rPr>
                            </w:pPr>
                            <w:r>
                              <w:rPr>
                                <w:b/>
                                <w:sz w:val="20"/>
                                <w:szCs w:val="20"/>
                              </w:rPr>
                              <w:t>(SINVT2)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593825" id="Rectangle 212" o:spid="_x0000_s1030" style="position:absolute;left:0;text-align:left;margin-left:-6.8pt;margin-top:13.4pt;width:118.85pt;height:48.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" filled="f" strokeweight="1pt">
                <v:path arrowok="t"/>
                <v:textbox>
                  <w:txbxContent>
                    <w:p w14:paraId="64BD32EF" w14:textId="77777777" w:rsidR="004A1B6C" w:rsidRDefault="004A1B6C" w:rsidP="00B17859">
                      <w:pPr>
                        <w:jc w:val="center"/>
                        <w:rPr>
                          <w:b/>
                          <w:sz w:val="20"/>
                          <w:szCs w:val="20"/>
                        </w:rPr>
                      </w:pPr>
                      <w:r>
                        <w:rPr>
                          <w:b/>
                          <w:sz w:val="20"/>
                          <w:szCs w:val="20"/>
                        </w:rPr>
                        <w:t>Supplier Incremental Investments at Time 2</w:t>
                      </w:r>
                    </w:p>
                    <w:p w14:paraId="4957F123" w14:textId="77777777" w:rsidR="004A1B6C" w:rsidRDefault="004A1B6C" w:rsidP="00B17859">
                      <w:pPr>
                        <w:jc w:val="center"/>
                        <w:rPr>
                          <w:b/>
                          <w:sz w:val="20"/>
                          <w:szCs w:val="20"/>
                        </w:rPr>
                      </w:pPr>
                      <w:r>
                        <w:rPr>
                          <w:b/>
                          <w:sz w:val="20"/>
                          <w:szCs w:val="20"/>
                        </w:rPr>
                        <w:t>(SINVT2)</w:t>
                      </w:r>
                    </w:p>
                  </w:txbxContent>
                </v:textbox>
              </v:rect>
            </w:pict>
          </mc:Fallback>
        </mc:AlternateContent>
      </w:r>
      <w:r>
        <w:rPr>
          <w:noProof/>
          <w:lang w:val="nb-NO" w:eastAsia="nb-NO"/>
        </w:rPr>
        <mc:AlternateContent>
          <mc:Choice Requires="wps">
            <w:drawing>
              <wp:anchor distT="0" distB="0" distL="114283" distR="114283" simplePos="0" relativeHeight="251678208" behindDoc="0" locked="0" layoutInCell="1" allowOverlap="1" wp14:anchorId="43CBD376" wp14:editId="3887584C">
                <wp:simplePos x="0" y="0"/>
                <wp:positionH relativeFrom="column">
                  <wp:posOffset>2202179</wp:posOffset>
                </wp:positionH>
                <wp:positionV relativeFrom="paragraph">
                  <wp:posOffset>129540</wp:posOffset>
                </wp:positionV>
                <wp:extent cx="0" cy="933450"/>
                <wp:effectExtent l="0" t="0" r="0" b="0"/>
                <wp:wrapNone/>
                <wp:docPr id="33"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933450"/>
                        </a:xfrm>
                        <a:prstGeom prst="straightConnector1">
                          <a:avLst/>
                        </a:prstGeom>
                        <a:noFill/>
                        <a:ln>
                          <a:noFill/>
                        </a:ln>
                        <a:extLst>
                          <a:ext uri="{909E8E84-426E-40dd-AFC4-6F175D3DCCD1}"/>
                          <a:ext uri="{91240B29-F687-4f45-9708-019B960494DF}"/>
                        </a:extLst>
                      </wps:spPr>
                      <wps:bodyPr/>
                    </wps:wsp>
                  </a:graphicData>
                </a:graphic>
                <wp14:sizeRelH relativeFrom="page">
                  <wp14:pctWidth>0</wp14:pctWidth>
                </wp14:sizeRelH>
                <wp14:sizeRelV relativeFrom="page">
                  <wp14:pctHeight>0</wp14:pctHeight>
                </wp14:sizeRelV>
              </wp:anchor>
            </w:drawing>
          </mc:Choice>
          <mc:Fallback>
            <w:pict>
              <v:shapetype w14:anchorId="2D266A5E" id="_x0000_t32" coordsize="21600,21600" o:spt="32" o:oned="t" path="m,l21600,21600e" filled="f">
                <v:path arrowok="t" fillok="f" o:connecttype="none"/>
                <o:lock v:ext="edit" shapetype="t"/>
              </v:shapetype>
              <v:shape id="AutoShape 209" o:spid="_x0000_s1026" type="#_x0000_t32" style="position:absolute;margin-left:173.4pt;margin-top:10.2pt;width:0;height:73.5pt;flip:y;z-index:251678208;visibility:visible;mso-wrap-style:square;mso-width-percent:0;mso-height-percent:0;mso-wrap-distance-left:3.17453mm;mso-wrap-distance-top:0;mso-wrap-distance-right:3.1745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" stroked="f">
                <o:lock v:ext="edit" shapetype="f"/>
              </v:shape>
            </w:pict>
          </mc:Fallback>
        </mc:AlternateContent>
      </w:r>
    </w:p>
    <w:p w14:paraId="7459DAE5" w14:textId="083484F2" w:rsidR="00B17859" w:rsidRPr="00605672" w:rsidRDefault="00D90DFD" w:rsidP="00B17859">
      <w:pPr>
        <w:jc w:val="center"/>
      </w:pPr>
      <w:r>
        <w:rPr>
          <w:noProof/>
          <w:color w:val="FFFFFF" w:themeColor="background1"/>
          <w:sz w:val="20"/>
          <w:szCs w:val="20"/>
          <w:lang w:val="nb-NO" w:eastAsia="nb-NO"/>
        </w:rPr>
        <mc:AlternateContent>
          <mc:Choice Requires="wps">
            <w:drawing>
              <wp:anchor distT="0" distB="0" distL="114300" distR="114300" simplePos="0" relativeHeight="251693568" behindDoc="0" locked="0" layoutInCell="1" allowOverlap="1" wp14:anchorId="7D7C1E8B" wp14:editId="6980AB32">
                <wp:simplePos x="0" y="0"/>
                <wp:positionH relativeFrom="column">
                  <wp:posOffset>3940175</wp:posOffset>
                </wp:positionH>
                <wp:positionV relativeFrom="paragraph">
                  <wp:posOffset>29845</wp:posOffset>
                </wp:positionV>
                <wp:extent cx="850900" cy="335280"/>
                <wp:effectExtent l="0" t="0" r="0" b="0"/>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335280"/>
                        </a:xfrm>
                        <a:prstGeom prst="rect">
                          <a:avLst/>
                        </a:prstGeom>
                        <a:noFill/>
                        <a:ln>
                          <a:noFill/>
                        </a:ln>
                        <a:extLst>
                          <a:ext uri="{909E8E84-426E-40dd-AFC4-6F175D3DCCD1}"/>
                          <a:ext uri="{91240B29-F687-4f45-9708-019B960494DF}"/>
                        </a:extLst>
                      </wps:spPr>
                      <wps:txbx>
                        <w:txbxContent>
                          <w:p w14:paraId="712736CD" w14:textId="77777777" w:rsidR="004A1B6C" w:rsidRPr="003F0F33" w:rsidRDefault="004A1B6C" w:rsidP="00056377">
                            <w:pPr>
                              <w:rPr>
                                <w:b/>
                                <w:sz w:val="20"/>
                                <w:szCs w:val="20"/>
                              </w:rPr>
                            </w:pPr>
                            <w:r w:rsidDel="00056377">
                              <w:rPr>
                                <w:b/>
                                <w:sz w:val="20"/>
                                <w:szCs w:val="20"/>
                              </w:rPr>
                              <w:t xml:space="preserve"> </w:t>
                            </w:r>
                            <w:r w:rsidRPr="003F0F33">
                              <w:rPr>
                                <w:b/>
                                <w:sz w:val="20"/>
                                <w:szCs w:val="20"/>
                              </w:rPr>
                              <w:t>(</w:t>
                            </w:r>
                            <w:r>
                              <w:rPr>
                                <w:b/>
                                <w:sz w:val="20"/>
                                <w:szCs w:val="20"/>
                              </w:rPr>
                              <w:t>+</w:t>
                            </w:r>
                            <w:r w:rsidRPr="003F0F33">
                              <w:rPr>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C1E8B" id="Rectangle 7" o:spid="_x0000_s1031" style="position:absolute;left:0;text-align:left;margin-left:310.25pt;margin-top:2.35pt;width:67pt;height:26.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" filled="f" stroked="f">
                <v:path arrowok="t"/>
                <v:textbox>
                  <w:txbxContent>
                    <w:p w14:paraId="712736CD" w14:textId="77777777" w:rsidR="004A1B6C" w:rsidRPr="003F0F33" w:rsidRDefault="004A1B6C" w:rsidP="00056377">
                      <w:pPr>
                        <w:rPr>
                          <w:b/>
                          <w:sz w:val="20"/>
                          <w:szCs w:val="20"/>
                        </w:rPr>
                      </w:pPr>
                      <w:r w:rsidDel="00056377">
                        <w:rPr>
                          <w:b/>
                          <w:sz w:val="20"/>
                          <w:szCs w:val="20"/>
                        </w:rPr>
                        <w:t xml:space="preserve"> </w:t>
                      </w:r>
                      <w:r w:rsidRPr="003F0F33">
                        <w:rPr>
                          <w:b/>
                          <w:sz w:val="20"/>
                          <w:szCs w:val="20"/>
                        </w:rPr>
                        <w:t>(</w:t>
                      </w:r>
                      <w:r>
                        <w:rPr>
                          <w:b/>
                          <w:sz w:val="20"/>
                          <w:szCs w:val="20"/>
                        </w:rPr>
                        <w:t>+</w:t>
                      </w:r>
                      <w:r w:rsidRPr="003F0F33">
                        <w:rPr>
                          <w:b/>
                          <w:sz w:val="20"/>
                          <w:szCs w:val="20"/>
                        </w:rPr>
                        <w:t>)</w:t>
                      </w:r>
                    </w:p>
                  </w:txbxContent>
                </v:textbox>
              </v:rect>
            </w:pict>
          </mc:Fallback>
        </mc:AlternateContent>
      </w:r>
    </w:p>
    <w:p w14:paraId="362F7396" w14:textId="70FA48FB" w:rsidR="00B17859" w:rsidRPr="00605672" w:rsidRDefault="00D90DFD" w:rsidP="00B17859">
      <w:pPr>
        <w:jc w:val="center"/>
      </w:pPr>
      <w:r>
        <w:rPr>
          <w:noProof/>
          <w:sz w:val="20"/>
          <w:szCs w:val="20"/>
          <w:lang w:val="nb-NO" w:eastAsia="nb-NO"/>
        </w:rPr>
        <mc:AlternateContent>
          <mc:Choice Requires="wps">
            <w:drawing>
              <wp:anchor distT="0" distB="0" distL="114300" distR="114300" simplePos="0" relativeHeight="251687424" behindDoc="0" locked="0" layoutInCell="1" allowOverlap="1" wp14:anchorId="1DACC20B" wp14:editId="6839157D">
                <wp:simplePos x="0" y="0"/>
                <wp:positionH relativeFrom="column">
                  <wp:posOffset>3369945</wp:posOffset>
                </wp:positionH>
                <wp:positionV relativeFrom="paragraph">
                  <wp:posOffset>116840</wp:posOffset>
                </wp:positionV>
                <wp:extent cx="635" cy="1824990"/>
                <wp:effectExtent l="95250" t="38100" r="56515" b="3810"/>
                <wp:wrapNone/>
                <wp:docPr id="30"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35" cy="1824990"/>
                        </a:xfrm>
                        <a:prstGeom prst="line">
                          <a:avLst/>
                        </a:prstGeom>
                        <a:noFill/>
                        <a:ln w="12700">
                          <a:solidFill>
                            <a:srgbClr val="000000"/>
                          </a:solidFill>
                          <a:round/>
                          <a:headEnd/>
                          <a:tailEnd type="triangle" w="lg" len="lg"/>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11EB44FF" id="Line 221" o:spid="_x0000_s1026" style="position:absolute;flip:x 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35pt,9.2pt" to="265.4pt,1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" strokeweight="1pt">
                <v:stroke endarrow="block" endarrowwidth="wide" endarrowlength="long"/>
                <o:lock v:ext="edit" shapetype="f"/>
              </v:line>
            </w:pict>
          </mc:Fallback>
        </mc:AlternateContent>
      </w:r>
      <w:r>
        <w:rPr>
          <w:noProof/>
          <w:lang w:val="nb-NO" w:eastAsia="nb-NO"/>
        </w:rPr>
        <mc:AlternateContent>
          <mc:Choice Requires="wps">
            <w:drawing>
              <wp:anchor distT="4294967294" distB="4294967294" distL="114300" distR="114300" simplePos="0" relativeHeight="251689472" behindDoc="0" locked="0" layoutInCell="1" allowOverlap="1" wp14:anchorId="079CEA1B" wp14:editId="5BDAAFC4">
                <wp:simplePos x="0" y="0"/>
                <wp:positionH relativeFrom="column">
                  <wp:posOffset>1463040</wp:posOffset>
                </wp:positionH>
                <wp:positionV relativeFrom="paragraph">
                  <wp:posOffset>116839</wp:posOffset>
                </wp:positionV>
                <wp:extent cx="5534025" cy="0"/>
                <wp:effectExtent l="0" t="95250" r="0" b="95250"/>
                <wp:wrapNone/>
                <wp:docPr id="31"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34025" cy="0"/>
                        </a:xfrm>
                        <a:prstGeom prst="line">
                          <a:avLst/>
                        </a:prstGeom>
                        <a:noFill/>
                        <a:ln w="12700">
                          <a:solidFill>
                            <a:srgbClr val="000000"/>
                          </a:solidFill>
                          <a:prstDash val="lgDash"/>
                          <a:round/>
                          <a:headEnd/>
                          <a:tailEnd type="triangle" w="lg" len="lg"/>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7B8491F7" id="Line 216" o:spid="_x0000_s1026" style="position:absolute;z-index:251689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2pt,9.2pt" to="550.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" strokeweight="1pt">
                <v:stroke dashstyle="longDash" endarrow="block" endarrowwidth="wide" endarrowlength="long"/>
                <o:lock v:ext="edit" shapetype="f"/>
              </v:line>
            </w:pict>
          </mc:Fallback>
        </mc:AlternateContent>
      </w:r>
    </w:p>
    <w:p w14:paraId="557206A6" w14:textId="77777777" w:rsidR="00B17859" w:rsidRPr="00605672" w:rsidRDefault="00B17859" w:rsidP="00B17859">
      <w:pPr>
        <w:jc w:val="center"/>
      </w:pPr>
    </w:p>
    <w:p w14:paraId="1276013F" w14:textId="1EA54672" w:rsidR="00B17859" w:rsidRPr="00605672" w:rsidRDefault="00D90DFD" w:rsidP="00B17859">
      <w:pPr>
        <w:jc w:val="center"/>
      </w:pPr>
      <w:r>
        <w:rPr>
          <w:noProof/>
          <w:sz w:val="20"/>
          <w:szCs w:val="20"/>
          <w:lang w:val="nb-NO" w:eastAsia="nb-NO"/>
        </w:rPr>
        <mc:AlternateContent>
          <mc:Choice Requires="wps">
            <w:drawing>
              <wp:anchor distT="0" distB="0" distL="114300" distR="114300" simplePos="0" relativeHeight="251688448" behindDoc="0" locked="0" layoutInCell="1" allowOverlap="1" wp14:anchorId="29CDB393" wp14:editId="3BDCBF57">
                <wp:simplePos x="0" y="0"/>
                <wp:positionH relativeFrom="column">
                  <wp:posOffset>2841625</wp:posOffset>
                </wp:positionH>
                <wp:positionV relativeFrom="paragraph">
                  <wp:posOffset>89535</wp:posOffset>
                </wp:positionV>
                <wp:extent cx="747395" cy="335280"/>
                <wp:effectExtent l="0" t="0" r="0" b="0"/>
                <wp:wrapNone/>
                <wp:docPr id="28"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7395" cy="335280"/>
                        </a:xfrm>
                        <a:prstGeom prst="rect">
                          <a:avLst/>
                        </a:prstGeom>
                        <a:noFill/>
                        <a:ln>
                          <a:noFill/>
                        </a:ln>
                        <a:extLst>
                          <a:ext uri="{909E8E84-426E-40dd-AFC4-6F175D3DCCD1}"/>
                          <a:ext uri="{91240B29-F687-4f45-9708-019B960494DF}"/>
                        </a:extLst>
                      </wps:spPr>
                      <wps:txbx>
                        <w:txbxContent>
                          <w:p w14:paraId="089903B5" w14:textId="77777777" w:rsidR="004A1B6C" w:rsidRPr="003F0F33" w:rsidRDefault="004A1B6C" w:rsidP="00B17859">
                            <w:pPr>
                              <w:rPr>
                                <w:b/>
                                <w:sz w:val="20"/>
                                <w:szCs w:val="20"/>
                              </w:rPr>
                            </w:pPr>
                            <w:r w:rsidRPr="003F0F33">
                              <w:rPr>
                                <w:b/>
                                <w:sz w:val="20"/>
                                <w:szCs w:val="20"/>
                              </w:rPr>
                              <w:t>H</w:t>
                            </w:r>
                            <w:r>
                              <w:rPr>
                                <w:b/>
                                <w:sz w:val="20"/>
                                <w:szCs w:val="20"/>
                              </w:rPr>
                              <w:t>3b</w:t>
                            </w:r>
                            <w:r w:rsidRPr="003F0F33">
                              <w:rPr>
                                <w:b/>
                                <w:sz w:val="20"/>
                                <w:szCs w:val="20"/>
                              </w:rPr>
                              <w:t xml:space="preserve"> (</w:t>
                            </w:r>
                            <w:r>
                              <w:rPr>
                                <w:b/>
                                <w:sz w:val="20"/>
                                <w:szCs w:val="20"/>
                              </w:rPr>
                              <w:t>-</w:t>
                            </w:r>
                            <w:r w:rsidRPr="003F0F33">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DB393" id="Rectangle 222" o:spid="_x0000_s1032" style="position:absolute;left:0;text-align:left;margin-left:223.75pt;margin-top:7.05pt;width:58.85pt;height:26.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" filled="f" stroked="f">
                <v:path arrowok="t"/>
                <v:textbox>
                  <w:txbxContent>
                    <w:p w14:paraId="089903B5" w14:textId="77777777" w:rsidR="004A1B6C" w:rsidRPr="003F0F33" w:rsidRDefault="004A1B6C" w:rsidP="00B17859">
                      <w:pPr>
                        <w:rPr>
                          <w:b/>
                          <w:sz w:val="20"/>
                          <w:szCs w:val="20"/>
                        </w:rPr>
                      </w:pPr>
                      <w:r w:rsidRPr="003F0F33">
                        <w:rPr>
                          <w:b/>
                          <w:sz w:val="20"/>
                          <w:szCs w:val="20"/>
                        </w:rPr>
                        <w:t>H</w:t>
                      </w:r>
                      <w:r>
                        <w:rPr>
                          <w:b/>
                          <w:sz w:val="20"/>
                          <w:szCs w:val="20"/>
                        </w:rPr>
                        <w:t>3b</w:t>
                      </w:r>
                      <w:r w:rsidRPr="003F0F33">
                        <w:rPr>
                          <w:b/>
                          <w:sz w:val="20"/>
                          <w:szCs w:val="20"/>
                        </w:rPr>
                        <w:t xml:space="preserve"> (</w:t>
                      </w:r>
                      <w:r>
                        <w:rPr>
                          <w:b/>
                          <w:sz w:val="20"/>
                          <w:szCs w:val="20"/>
                        </w:rPr>
                        <w:t>-</w:t>
                      </w:r>
                      <w:r w:rsidRPr="003F0F33">
                        <w:rPr>
                          <w:b/>
                          <w:sz w:val="20"/>
                          <w:szCs w:val="20"/>
                        </w:rPr>
                        <w:t xml:space="preserve">) </w:t>
                      </w:r>
                    </w:p>
                  </w:txbxContent>
                </v:textbox>
              </v:rect>
            </w:pict>
          </mc:Fallback>
        </mc:AlternateContent>
      </w:r>
      <w:r>
        <w:rPr>
          <w:noProof/>
          <w:sz w:val="20"/>
          <w:szCs w:val="20"/>
          <w:lang w:val="nb-NO" w:eastAsia="nb-NO"/>
        </w:rPr>
        <mc:AlternateContent>
          <mc:Choice Requires="wps">
            <w:drawing>
              <wp:anchor distT="0" distB="0" distL="114288" distR="114288" simplePos="0" relativeHeight="251683328" behindDoc="0" locked="0" layoutInCell="1" allowOverlap="1" wp14:anchorId="536ED6DB" wp14:editId="547D3943">
                <wp:simplePos x="0" y="0"/>
                <wp:positionH relativeFrom="column">
                  <wp:posOffset>554989</wp:posOffset>
                </wp:positionH>
                <wp:positionV relativeFrom="paragraph">
                  <wp:posOffset>88900</wp:posOffset>
                </wp:positionV>
                <wp:extent cx="0" cy="1144905"/>
                <wp:effectExtent l="95250" t="38100" r="38100" b="0"/>
                <wp:wrapNone/>
                <wp:docPr id="29"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0" cy="1144905"/>
                        </a:xfrm>
                        <a:prstGeom prst="line">
                          <a:avLst/>
                        </a:prstGeom>
                        <a:noFill/>
                        <a:ln w="15875">
                          <a:solidFill>
                            <a:srgbClr val="000000"/>
                          </a:solidFill>
                          <a:round/>
                          <a:headEnd/>
                          <a:tailEnd type="triangle" w="lg" len="lg"/>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A7ABF6E" id="Line 214" o:spid="_x0000_s1026" style="position:absolute;flip:x y;z-index:251683328;visibility:visible;mso-wrap-style:square;mso-width-percent:0;mso-height-percent:0;mso-wrap-distance-left:3.17467mm;mso-wrap-distance-top:0;mso-wrap-distance-right:3.17467mm;mso-wrap-distance-bottom:0;mso-position-horizontal:absolute;mso-position-horizontal-relative:text;mso-position-vertical:absolute;mso-position-vertical-relative:text;mso-width-percent:0;mso-height-percent:0;mso-width-relative:page;mso-height-relative:page" from="43.7pt,7pt" to="43.7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" strokeweight="1.25pt">
                <v:stroke endarrow="block" endarrowwidth="wide" endarrowlength="long"/>
                <o:lock v:ext="edit" shapetype="f"/>
              </v:line>
            </w:pict>
          </mc:Fallback>
        </mc:AlternateContent>
      </w:r>
    </w:p>
    <w:p w14:paraId="541A99CA" w14:textId="77777777" w:rsidR="00B17859" w:rsidRPr="00605672" w:rsidRDefault="00B17859" w:rsidP="00B17859">
      <w:pPr>
        <w:rPr>
          <w:sz w:val="20"/>
          <w:szCs w:val="20"/>
        </w:rPr>
      </w:pPr>
    </w:p>
    <w:p w14:paraId="1B8AB44D" w14:textId="77777777" w:rsidR="00B17859" w:rsidRPr="00605672" w:rsidRDefault="00B17859" w:rsidP="00B17859">
      <w:pPr>
        <w:rPr>
          <w:sz w:val="20"/>
          <w:szCs w:val="20"/>
        </w:rPr>
      </w:pPr>
    </w:p>
    <w:p w14:paraId="3333A040" w14:textId="39E62130" w:rsidR="00B17859" w:rsidRPr="00605672" w:rsidRDefault="00D90DFD" w:rsidP="00B17859">
      <w:pPr>
        <w:rPr>
          <w:sz w:val="20"/>
          <w:szCs w:val="20"/>
        </w:rPr>
      </w:pPr>
      <w:r>
        <w:rPr>
          <w:noProof/>
          <w:lang w:val="nb-NO" w:eastAsia="nb-NO"/>
        </w:rPr>
        <mc:AlternateContent>
          <mc:Choice Requires="wps">
            <w:drawing>
              <wp:anchor distT="0" distB="0" distL="114300" distR="114300" simplePos="0" relativeHeight="251685376" behindDoc="0" locked="0" layoutInCell="1" allowOverlap="1" wp14:anchorId="5E358233" wp14:editId="40E55B23">
                <wp:simplePos x="0" y="0"/>
                <wp:positionH relativeFrom="column">
                  <wp:posOffset>60325</wp:posOffset>
                </wp:positionH>
                <wp:positionV relativeFrom="paragraph">
                  <wp:posOffset>29210</wp:posOffset>
                </wp:positionV>
                <wp:extent cx="850900" cy="335280"/>
                <wp:effectExtent l="0" t="0" r="0" b="0"/>
                <wp:wrapNone/>
                <wp:docPr id="2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335280"/>
                        </a:xfrm>
                        <a:prstGeom prst="rect">
                          <a:avLst/>
                        </a:prstGeom>
                        <a:noFill/>
                        <a:ln>
                          <a:noFill/>
                        </a:ln>
                        <a:extLst>
                          <a:ext uri="{909E8E84-426E-40dd-AFC4-6F175D3DCCD1}"/>
                          <a:ext uri="{91240B29-F687-4f45-9708-019B960494DF}"/>
                        </a:extLst>
                      </wps:spPr>
                      <wps:txbx>
                        <w:txbxContent>
                          <w:p w14:paraId="5950278A" w14:textId="77777777" w:rsidR="004A1B6C" w:rsidRPr="003F0F33" w:rsidRDefault="004A1B6C" w:rsidP="00B17859">
                            <w:pPr>
                              <w:rPr>
                                <w:b/>
                                <w:sz w:val="20"/>
                                <w:szCs w:val="20"/>
                              </w:rPr>
                            </w:pPr>
                            <w:r>
                              <w:rPr>
                                <w:b/>
                                <w:sz w:val="20"/>
                                <w:szCs w:val="20"/>
                              </w:rPr>
                              <w:t>H2</w:t>
                            </w:r>
                            <w:r w:rsidRPr="003F0F33">
                              <w:rPr>
                                <w:b/>
                                <w:sz w:val="20"/>
                                <w:szCs w:val="20"/>
                              </w:rPr>
                              <w:t xml:space="preserve"> (</w:t>
                            </w:r>
                            <w:r>
                              <w:rPr>
                                <w:b/>
                                <w:sz w:val="20"/>
                                <w:szCs w:val="20"/>
                              </w:rPr>
                              <w:t>+</w:t>
                            </w:r>
                            <w:r w:rsidRPr="003F0F33">
                              <w:rPr>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58233" id="Rectangle 217" o:spid="_x0000_s1033" style="position:absolute;margin-left:4.75pt;margin-top:2.3pt;width:67pt;height:26.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" filled="f" stroked="f">
                <v:path arrowok="t"/>
                <v:textbox>
                  <w:txbxContent>
                    <w:p w14:paraId="5950278A" w14:textId="77777777" w:rsidR="004A1B6C" w:rsidRPr="003F0F33" w:rsidRDefault="004A1B6C" w:rsidP="00B17859">
                      <w:pPr>
                        <w:rPr>
                          <w:b/>
                          <w:sz w:val="20"/>
                          <w:szCs w:val="20"/>
                        </w:rPr>
                      </w:pPr>
                      <w:r>
                        <w:rPr>
                          <w:b/>
                          <w:sz w:val="20"/>
                          <w:szCs w:val="20"/>
                        </w:rPr>
                        <w:t>H2</w:t>
                      </w:r>
                      <w:r w:rsidRPr="003F0F33">
                        <w:rPr>
                          <w:b/>
                          <w:sz w:val="20"/>
                          <w:szCs w:val="20"/>
                        </w:rPr>
                        <w:t xml:space="preserve"> (</w:t>
                      </w:r>
                      <w:r>
                        <w:rPr>
                          <w:b/>
                          <w:sz w:val="20"/>
                          <w:szCs w:val="20"/>
                        </w:rPr>
                        <w:t>+</w:t>
                      </w:r>
                      <w:r w:rsidRPr="003F0F33">
                        <w:rPr>
                          <w:b/>
                          <w:sz w:val="20"/>
                          <w:szCs w:val="20"/>
                        </w:rPr>
                        <w:t>)</w:t>
                      </w:r>
                    </w:p>
                  </w:txbxContent>
                </v:textbox>
              </v:rect>
            </w:pict>
          </mc:Fallback>
        </mc:AlternateContent>
      </w:r>
    </w:p>
    <w:p w14:paraId="5E978C84" w14:textId="77777777" w:rsidR="00B17859" w:rsidRPr="00605672" w:rsidRDefault="00B17859" w:rsidP="00B17859">
      <w:pPr>
        <w:rPr>
          <w:sz w:val="6"/>
          <w:szCs w:val="6"/>
        </w:rPr>
      </w:pPr>
    </w:p>
    <w:p w14:paraId="76F698EA" w14:textId="77777777" w:rsidR="00B17859" w:rsidRPr="00605672" w:rsidRDefault="00B17859" w:rsidP="00B17859">
      <w:pPr>
        <w:rPr>
          <w:sz w:val="6"/>
          <w:szCs w:val="6"/>
        </w:rPr>
      </w:pPr>
    </w:p>
    <w:p w14:paraId="6D553799" w14:textId="77777777" w:rsidR="00B17859" w:rsidRPr="00605672" w:rsidRDefault="00B17859" w:rsidP="00B17859">
      <w:pPr>
        <w:rPr>
          <w:sz w:val="6"/>
          <w:szCs w:val="6"/>
        </w:rPr>
      </w:pPr>
    </w:p>
    <w:p w14:paraId="7942ECAD" w14:textId="750B865C" w:rsidR="00B17859" w:rsidRPr="00605672" w:rsidRDefault="00D90DFD" w:rsidP="00B17859">
      <w:pPr>
        <w:rPr>
          <w:sz w:val="20"/>
          <w:szCs w:val="20"/>
        </w:rPr>
      </w:pPr>
      <w:r>
        <w:rPr>
          <w:noProof/>
          <w:lang w:val="nb-NO" w:eastAsia="nb-NO"/>
        </w:rPr>
        <mc:AlternateContent>
          <mc:Choice Requires="wps">
            <w:drawing>
              <wp:anchor distT="4294967294" distB="4294967294" distL="114300" distR="114300" simplePos="0" relativeHeight="251690496" behindDoc="0" locked="0" layoutInCell="1" allowOverlap="1" wp14:anchorId="45D0B4EB" wp14:editId="5A331723">
                <wp:simplePos x="0" y="0"/>
                <wp:positionH relativeFrom="column">
                  <wp:posOffset>3376295</wp:posOffset>
                </wp:positionH>
                <wp:positionV relativeFrom="paragraph">
                  <wp:posOffset>29844</wp:posOffset>
                </wp:positionV>
                <wp:extent cx="2078355" cy="0"/>
                <wp:effectExtent l="0" t="95250" r="0" b="95250"/>
                <wp:wrapNone/>
                <wp:docPr id="25"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078355" cy="0"/>
                        </a:xfrm>
                        <a:prstGeom prst="line">
                          <a:avLst/>
                        </a:prstGeom>
                        <a:noFill/>
                        <a:ln w="12700">
                          <a:solidFill>
                            <a:srgbClr val="000000"/>
                          </a:solidFill>
                          <a:round/>
                          <a:headEnd/>
                          <a:tailEnd type="triangle" w="lg" len="lg"/>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4C9DF081" id="Line 226" o:spid="_x0000_s1026" style="position:absolute;flip:x y;z-index:251690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85pt,2.35pt" to="42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" strokeweight="1pt">
                <v:stroke endarrow="block" endarrowwidth="wide" endarrowlength="long"/>
                <o:lock v:ext="edit" shapetype="f"/>
              </v:line>
            </w:pict>
          </mc:Fallback>
        </mc:AlternateContent>
      </w:r>
      <w:r>
        <w:rPr>
          <w:noProof/>
          <w:lang w:val="nb-NO" w:eastAsia="nb-NO"/>
        </w:rPr>
        <mc:AlternateContent>
          <mc:Choice Requires="wps">
            <w:drawing>
              <wp:anchor distT="0" distB="0" distL="114300" distR="114300" simplePos="0" relativeHeight="251691520" behindDoc="0" locked="0" layoutInCell="1" allowOverlap="1" wp14:anchorId="72B985C4" wp14:editId="36779930">
                <wp:simplePos x="0" y="0"/>
                <wp:positionH relativeFrom="column">
                  <wp:posOffset>4237355</wp:posOffset>
                </wp:positionH>
                <wp:positionV relativeFrom="paragraph">
                  <wp:posOffset>36830</wp:posOffset>
                </wp:positionV>
                <wp:extent cx="612140" cy="335280"/>
                <wp:effectExtent l="0" t="0" r="0" b="0"/>
                <wp:wrapNone/>
                <wp:docPr id="2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335280"/>
                        </a:xfrm>
                        <a:prstGeom prst="rect">
                          <a:avLst/>
                        </a:prstGeom>
                        <a:noFill/>
                        <a:ln>
                          <a:noFill/>
                        </a:ln>
                        <a:extLst>
                          <a:ext uri="{909E8E84-426E-40dd-AFC4-6F175D3DCCD1}"/>
                          <a:ext uri="{91240B29-F687-4f45-9708-019B960494DF}"/>
                        </a:extLst>
                      </wps:spPr>
                      <wps:txbx>
                        <w:txbxContent>
                          <w:p w14:paraId="58B8EE62" w14:textId="77777777" w:rsidR="004A1B6C" w:rsidRPr="003F0F33" w:rsidRDefault="004A1B6C" w:rsidP="00B17859">
                            <w:pPr>
                              <w:rPr>
                                <w:b/>
                                <w:sz w:val="20"/>
                                <w:szCs w:val="20"/>
                              </w:rPr>
                            </w:pPr>
                            <w:r w:rsidRPr="003F0F33">
                              <w:rPr>
                                <w:b/>
                                <w:sz w:val="20"/>
                                <w:szCs w:val="20"/>
                              </w:rPr>
                              <w:t>H</w:t>
                            </w:r>
                            <w:r>
                              <w:rPr>
                                <w:b/>
                                <w:sz w:val="20"/>
                                <w:szCs w:val="20"/>
                              </w:rPr>
                              <w:t>4</w:t>
                            </w:r>
                            <w:r w:rsidRPr="003F0F33">
                              <w:rPr>
                                <w:b/>
                                <w:sz w:val="20"/>
                                <w:szCs w:val="20"/>
                              </w:rPr>
                              <w:t xml:space="preserve"> </w:t>
                            </w:r>
                            <w:r>
                              <w:rPr>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985C4" id="Rectangle 227" o:spid="_x0000_s1034" style="position:absolute;margin-left:333.65pt;margin-top:2.9pt;width:48.2pt;height:26.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" filled="f" stroked="f">
                <v:path arrowok="t"/>
                <v:textbox>
                  <w:txbxContent>
                    <w:p w14:paraId="58B8EE62" w14:textId="77777777" w:rsidR="004A1B6C" w:rsidRPr="003F0F33" w:rsidRDefault="004A1B6C" w:rsidP="00B17859">
                      <w:pPr>
                        <w:rPr>
                          <w:b/>
                          <w:sz w:val="20"/>
                          <w:szCs w:val="20"/>
                        </w:rPr>
                      </w:pPr>
                      <w:r w:rsidRPr="003F0F33">
                        <w:rPr>
                          <w:b/>
                          <w:sz w:val="20"/>
                          <w:szCs w:val="20"/>
                        </w:rPr>
                        <w:t>H</w:t>
                      </w:r>
                      <w:r>
                        <w:rPr>
                          <w:b/>
                          <w:sz w:val="20"/>
                          <w:szCs w:val="20"/>
                        </w:rPr>
                        <w:t>4</w:t>
                      </w:r>
                      <w:r w:rsidRPr="003F0F33">
                        <w:rPr>
                          <w:b/>
                          <w:sz w:val="20"/>
                          <w:szCs w:val="20"/>
                        </w:rPr>
                        <w:t xml:space="preserve"> </w:t>
                      </w:r>
                      <w:r>
                        <w:rPr>
                          <w:b/>
                          <w:sz w:val="20"/>
                          <w:szCs w:val="20"/>
                        </w:rPr>
                        <w:t>(-)</w:t>
                      </w:r>
                    </w:p>
                  </w:txbxContent>
                </v:textbox>
              </v:rect>
            </w:pict>
          </mc:Fallback>
        </mc:AlternateContent>
      </w:r>
    </w:p>
    <w:p w14:paraId="177EB20B" w14:textId="77777777" w:rsidR="00B17859" w:rsidRPr="00605672" w:rsidRDefault="00B17859" w:rsidP="00B17859">
      <w:pPr>
        <w:rPr>
          <w:sz w:val="20"/>
          <w:szCs w:val="20"/>
        </w:rPr>
      </w:pPr>
    </w:p>
    <w:p w14:paraId="728119F3" w14:textId="77777777" w:rsidR="00B17859" w:rsidRPr="00605672" w:rsidRDefault="00B17859" w:rsidP="00B17859">
      <w:pPr>
        <w:rPr>
          <w:sz w:val="20"/>
          <w:szCs w:val="20"/>
        </w:rPr>
      </w:pPr>
    </w:p>
    <w:p w14:paraId="5DCD63D4" w14:textId="5EA98865" w:rsidR="00B17859" w:rsidRPr="00605672" w:rsidRDefault="00D90DFD" w:rsidP="00B17859">
      <w:pPr>
        <w:rPr>
          <w:sz w:val="20"/>
          <w:szCs w:val="20"/>
        </w:rPr>
      </w:pPr>
      <w:r>
        <w:rPr>
          <w:noProof/>
          <w:lang w:val="nb-NO" w:eastAsia="nb-NO"/>
        </w:rPr>
        <mc:AlternateContent>
          <mc:Choice Requires="wps">
            <w:drawing>
              <wp:anchor distT="0" distB="0" distL="114300" distR="114300" simplePos="0" relativeHeight="251679232" behindDoc="0" locked="0" layoutInCell="1" allowOverlap="1" wp14:anchorId="524DADB5" wp14:editId="7E6E0B04">
                <wp:simplePos x="0" y="0"/>
                <wp:positionH relativeFrom="column">
                  <wp:posOffset>-174625</wp:posOffset>
                </wp:positionH>
                <wp:positionV relativeFrom="paragraph">
                  <wp:posOffset>67310</wp:posOffset>
                </wp:positionV>
                <wp:extent cx="1483360" cy="692785"/>
                <wp:effectExtent l="0" t="0" r="2540" b="0"/>
                <wp:wrapNone/>
                <wp:docPr id="24"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3360" cy="692785"/>
                        </a:xfrm>
                        <a:prstGeom prst="rect">
                          <a:avLst/>
                        </a:prstGeom>
                        <a:noFill/>
                        <a:ln w="12700">
                          <a:solidFill>
                            <a:srgbClr val="000000"/>
                          </a:solidFill>
                          <a:miter lim="800000"/>
                          <a:headEnd/>
                          <a:tailEnd/>
                        </a:ln>
                        <a:effectLst/>
                        <a:extLst>
                          <a:ext uri="{909E8E84-426E-40dd-AFC4-6F175D3DCCD1}"/>
                          <a:ext uri="{AF507438-7753-43e0-B8FC-AC1667EBCBE1}"/>
                        </a:extLst>
                      </wps:spPr>
                      <wps:txbx>
                        <w:txbxContent>
                          <w:p w14:paraId="4EFB5119" w14:textId="77777777" w:rsidR="004A1B6C" w:rsidRDefault="004A1B6C" w:rsidP="00B17859">
                            <w:pPr>
                              <w:jc w:val="center"/>
                              <w:rPr>
                                <w:b/>
                                <w:sz w:val="20"/>
                                <w:szCs w:val="20"/>
                              </w:rPr>
                            </w:pPr>
                            <w:r>
                              <w:rPr>
                                <w:b/>
                                <w:sz w:val="20"/>
                                <w:szCs w:val="20"/>
                              </w:rPr>
                              <w:t>Mutual Asymmetric Investments at Time 1 (INVDIFF)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4DADB5" id="Rectangle 210" o:spid="_x0000_s1035" style="position:absolute;margin-left:-13.75pt;margin-top:5.3pt;width:116.8pt;height:54.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" filled="f" strokeweight="1pt">
                <v:path arrowok="t"/>
                <v:textbox>
                  <w:txbxContent>
                    <w:p w14:paraId="4EFB5119" w14:textId="77777777" w:rsidR="004A1B6C" w:rsidRDefault="004A1B6C" w:rsidP="00B17859">
                      <w:pPr>
                        <w:jc w:val="center"/>
                        <w:rPr>
                          <w:b/>
                          <w:sz w:val="20"/>
                          <w:szCs w:val="20"/>
                        </w:rPr>
                      </w:pPr>
                      <w:r>
                        <w:rPr>
                          <w:b/>
                          <w:sz w:val="20"/>
                          <w:szCs w:val="20"/>
                        </w:rPr>
                        <w:t>Mutual Asymmetric Investments at Time 1 (INVDIFF)</w:t>
                      </w:r>
                    </w:p>
                  </w:txbxContent>
                </v:textbox>
              </v:rect>
            </w:pict>
          </mc:Fallback>
        </mc:AlternateContent>
      </w:r>
    </w:p>
    <w:p w14:paraId="2B7BB33A" w14:textId="77777777" w:rsidR="00B17859" w:rsidRPr="00605672" w:rsidRDefault="00B17859" w:rsidP="00B17859">
      <w:pPr>
        <w:rPr>
          <w:sz w:val="20"/>
          <w:szCs w:val="20"/>
        </w:rPr>
      </w:pPr>
    </w:p>
    <w:p w14:paraId="43979189" w14:textId="1E68C89F" w:rsidR="00B17859" w:rsidRPr="00605672" w:rsidRDefault="00D90DFD" w:rsidP="00B17859">
      <w:pPr>
        <w:rPr>
          <w:sz w:val="20"/>
          <w:szCs w:val="20"/>
        </w:rPr>
      </w:pPr>
      <w:r>
        <w:rPr>
          <w:noProof/>
          <w:sz w:val="20"/>
          <w:szCs w:val="20"/>
          <w:lang w:val="nb-NO" w:eastAsia="nb-NO"/>
        </w:rPr>
        <mc:AlternateContent>
          <mc:Choice Requires="wps">
            <w:drawing>
              <wp:anchor distT="4294967294" distB="4294967294" distL="114300" distR="114300" simplePos="0" relativeHeight="251684352" behindDoc="0" locked="0" layoutInCell="1" allowOverlap="1" wp14:anchorId="090DDC30" wp14:editId="64A80F88">
                <wp:simplePos x="0" y="0"/>
                <wp:positionH relativeFrom="column">
                  <wp:posOffset>1306195</wp:posOffset>
                </wp:positionH>
                <wp:positionV relativeFrom="paragraph">
                  <wp:posOffset>124459</wp:posOffset>
                </wp:positionV>
                <wp:extent cx="2070100" cy="0"/>
                <wp:effectExtent l="0" t="0" r="6350" b="0"/>
                <wp:wrapNone/>
                <wp:docPr id="23"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70100" cy="0"/>
                        </a:xfrm>
                        <a:prstGeom prst="line">
                          <a:avLst/>
                        </a:prstGeom>
                        <a:noFill/>
                        <a:ln w="12700">
                          <a:solidFill>
                            <a:srgbClr val="000000"/>
                          </a:solidFill>
                          <a:round/>
                          <a:headEnd/>
                          <a:tailEnd type="none" w="lg" len="lg"/>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5920759F" id="Line 215" o:spid="_x0000_s1026" style="position:absolute;flip:y;z-index:251684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2.85pt,9.8pt" to="265.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" strokeweight="1pt">
                <v:stroke endarrowwidth="wide" endarrowlength="long"/>
                <o:lock v:ext="edit" shapetype="f"/>
              </v:line>
            </w:pict>
          </mc:Fallback>
        </mc:AlternateContent>
      </w:r>
    </w:p>
    <w:p w14:paraId="28B709F7" w14:textId="77777777" w:rsidR="00F7035C" w:rsidRPr="00605672" w:rsidRDefault="00F7035C" w:rsidP="00F7035C">
      <w:pPr>
        <w:rPr>
          <w:sz w:val="20"/>
          <w:szCs w:val="20"/>
        </w:rPr>
      </w:pPr>
    </w:p>
    <w:p w14:paraId="1106105D" w14:textId="77777777" w:rsidR="00F7035C" w:rsidRPr="00605672" w:rsidRDefault="00F7035C" w:rsidP="00F7035C">
      <w:pPr>
        <w:rPr>
          <w:sz w:val="20"/>
          <w:szCs w:val="20"/>
        </w:rPr>
      </w:pPr>
    </w:p>
    <w:p w14:paraId="30AE8C23" w14:textId="77777777" w:rsidR="00ED1D7F" w:rsidRPr="00605672" w:rsidRDefault="00ED1D7F" w:rsidP="00B17859">
      <w:pPr>
        <w:ind w:left="-270"/>
        <w:rPr>
          <w:color w:val="FFFFFF" w:themeColor="background1"/>
          <w:sz w:val="20"/>
          <w:szCs w:val="20"/>
        </w:rPr>
      </w:pPr>
    </w:p>
    <w:p w14:paraId="3342F814" w14:textId="77777777" w:rsidR="00D92060" w:rsidRPr="00605672" w:rsidRDefault="00D92060" w:rsidP="00B17859">
      <w:pPr>
        <w:ind w:left="-270"/>
        <w:rPr>
          <w:color w:val="FFFFFF" w:themeColor="background1"/>
          <w:sz w:val="20"/>
          <w:szCs w:val="20"/>
        </w:rPr>
      </w:pPr>
    </w:p>
    <w:p w14:paraId="2B33D72E" w14:textId="77777777" w:rsidR="00D92060" w:rsidRPr="00605672" w:rsidRDefault="00D92060" w:rsidP="00B17859">
      <w:pPr>
        <w:ind w:left="-270"/>
        <w:rPr>
          <w:color w:val="FFFFFF" w:themeColor="background1"/>
          <w:sz w:val="20"/>
          <w:szCs w:val="20"/>
        </w:rPr>
      </w:pPr>
      <w:r w:rsidRPr="00605672">
        <w:rPr>
          <w:color w:val="FFFFFF" w:themeColor="background1"/>
          <w:sz w:val="20"/>
          <w:szCs w:val="20"/>
        </w:rPr>
        <w:t xml:space="preserve">Note: </w:t>
      </w:r>
    </w:p>
    <w:p w14:paraId="7ED2D739" w14:textId="6B7904A7" w:rsidR="00D92060" w:rsidRPr="00605672" w:rsidRDefault="00761357" w:rsidP="00B17859">
      <w:pPr>
        <w:ind w:left="-270"/>
        <w:rPr>
          <w:color w:val="000000" w:themeColor="text1"/>
          <w:sz w:val="20"/>
          <w:szCs w:val="20"/>
        </w:rPr>
      </w:pPr>
      <w:r w:rsidRPr="00605672">
        <w:rPr>
          <w:color w:val="FFFFFF" w:themeColor="background1"/>
          <w:sz w:val="20"/>
          <w:szCs w:val="20"/>
        </w:rPr>
        <w:t>N</w:t>
      </w:r>
      <w:r w:rsidRPr="00605672">
        <w:rPr>
          <w:color w:val="000000" w:themeColor="text1"/>
          <w:sz w:val="20"/>
          <w:szCs w:val="20"/>
        </w:rPr>
        <w:t>otes</w:t>
      </w:r>
      <w:r w:rsidR="00D92060" w:rsidRPr="00605672">
        <w:rPr>
          <w:color w:val="000000" w:themeColor="text1"/>
          <w:sz w:val="20"/>
          <w:szCs w:val="20"/>
        </w:rPr>
        <w:t>: Solid lines represent hypothesized effects</w:t>
      </w:r>
      <w:r w:rsidR="00FC679E">
        <w:rPr>
          <w:color w:val="000000" w:themeColor="text1"/>
          <w:sz w:val="20"/>
          <w:szCs w:val="20"/>
        </w:rPr>
        <w:t>,</w:t>
      </w:r>
      <w:r w:rsidR="00D92060" w:rsidRPr="00605672">
        <w:rPr>
          <w:color w:val="000000" w:themeColor="text1"/>
          <w:sz w:val="20"/>
          <w:szCs w:val="20"/>
        </w:rPr>
        <w:t xml:space="preserve"> and dotted lines represent non-hypothesized but expected baseline effects. </w:t>
      </w:r>
    </w:p>
    <w:p w14:paraId="7997ABE7" w14:textId="77777777" w:rsidR="00D92060" w:rsidRPr="00605672" w:rsidRDefault="00D92060" w:rsidP="00B17859">
      <w:pPr>
        <w:ind w:left="-270"/>
        <w:rPr>
          <w:color w:val="000000" w:themeColor="text1"/>
          <w:sz w:val="20"/>
          <w:szCs w:val="20"/>
        </w:rPr>
      </w:pPr>
    </w:p>
    <w:p w14:paraId="4AAAA30B" w14:textId="77777777" w:rsidR="00D92060" w:rsidRPr="00605672" w:rsidRDefault="00D92060" w:rsidP="00B17859">
      <w:pPr>
        <w:ind w:left="-270"/>
        <w:rPr>
          <w:color w:val="000000" w:themeColor="text1"/>
          <w:sz w:val="20"/>
          <w:szCs w:val="20"/>
        </w:rPr>
      </w:pPr>
    </w:p>
    <w:p w14:paraId="0F3DCD04" w14:textId="77777777" w:rsidR="00D92060" w:rsidRPr="00605672" w:rsidRDefault="00D92060" w:rsidP="00B17859">
      <w:pPr>
        <w:ind w:left="-270"/>
        <w:rPr>
          <w:color w:val="000000" w:themeColor="text1"/>
          <w:sz w:val="20"/>
          <w:szCs w:val="20"/>
        </w:rPr>
      </w:pPr>
    </w:p>
    <w:p w14:paraId="50EEDB22" w14:textId="77777777" w:rsidR="00D92060" w:rsidRPr="00605672" w:rsidRDefault="00D92060" w:rsidP="00B17859">
      <w:pPr>
        <w:ind w:left="-270"/>
        <w:rPr>
          <w:sz w:val="20"/>
          <w:szCs w:val="20"/>
        </w:rPr>
        <w:sectPr w:rsidR="00D92060" w:rsidRPr="00605672" w:rsidSect="00975618">
          <w:pgSz w:w="15820" w:h="12240" w:orient="landscape" w:code="1"/>
          <w:pgMar w:top="1440" w:right="1440" w:bottom="1440" w:left="1440" w:header="720" w:footer="720" w:gutter="0"/>
          <w:cols w:space="720"/>
          <w:docGrid w:linePitch="360"/>
        </w:sectPr>
      </w:pPr>
    </w:p>
    <w:p w14:paraId="63D7B9CC" w14:textId="507C09F8" w:rsidR="00A71D0F" w:rsidRPr="00FC679E" w:rsidRDefault="00A71D0F" w:rsidP="0000050F">
      <w:pPr>
        <w:jc w:val="center"/>
        <w:rPr>
          <w:b/>
        </w:rPr>
      </w:pPr>
      <w:r w:rsidRPr="00605672">
        <w:rPr>
          <w:b/>
        </w:rPr>
        <w:lastRenderedPageBreak/>
        <w:t>Figure 2</w:t>
      </w:r>
      <w:r w:rsidR="00FC679E">
        <w:rPr>
          <w:b/>
        </w:rPr>
        <w:t xml:space="preserve">. </w:t>
      </w:r>
      <w:r w:rsidRPr="00605672">
        <w:rPr>
          <w:b/>
        </w:rPr>
        <w:t xml:space="preserve">Contingency Effects of Governance </w:t>
      </w:r>
      <w:r w:rsidR="00332FED" w:rsidRPr="00605672">
        <w:rPr>
          <w:b/>
        </w:rPr>
        <w:t xml:space="preserve">Arrangements </w:t>
      </w:r>
      <w:r w:rsidRPr="00605672">
        <w:rPr>
          <w:b/>
        </w:rPr>
        <w:t xml:space="preserve">on </w:t>
      </w:r>
      <w:r w:rsidR="00AA5B5D" w:rsidRPr="00727D37">
        <w:rPr>
          <w:b/>
        </w:rPr>
        <w:t>Ex Post</w:t>
      </w:r>
      <w:r w:rsidRPr="00FC679E">
        <w:rPr>
          <w:b/>
        </w:rPr>
        <w:t xml:space="preserve"> Transaction Costs</w:t>
      </w:r>
    </w:p>
    <w:p w14:paraId="65FFB2A1" w14:textId="77777777" w:rsidR="009C5E35" w:rsidRPr="00FC679E" w:rsidRDefault="009C5E35">
      <w:pPr>
        <w:ind w:left="-630"/>
        <w:jc w:val="center"/>
        <w:rPr>
          <w:b/>
          <w:sz w:val="4"/>
          <w:szCs w:val="4"/>
        </w:rPr>
      </w:pPr>
    </w:p>
    <w:p w14:paraId="1D74BD6E" w14:textId="77777777" w:rsidR="009C5E35" w:rsidRPr="00FC679E" w:rsidRDefault="009C5E35">
      <w:pPr>
        <w:ind w:left="-630"/>
        <w:jc w:val="center"/>
        <w:rPr>
          <w:b/>
          <w:sz w:val="4"/>
          <w:szCs w:val="4"/>
        </w:rPr>
      </w:pPr>
    </w:p>
    <w:p w14:paraId="2293F0DE" w14:textId="3508D76F" w:rsidR="009C5E35" w:rsidRPr="00605672" w:rsidRDefault="00C817C6">
      <w:pPr>
        <w:ind w:left="567" w:hanging="1017"/>
        <w:jc w:val="center"/>
        <w:rPr>
          <w:b/>
          <w:sz w:val="18"/>
          <w:szCs w:val="18"/>
        </w:rPr>
      </w:pPr>
      <w:r w:rsidRPr="00FC679E">
        <w:rPr>
          <w:b/>
          <w:sz w:val="18"/>
          <w:szCs w:val="18"/>
        </w:rPr>
        <w:t>A</w:t>
      </w:r>
      <w:r w:rsidR="007B6151" w:rsidRPr="00FC679E">
        <w:rPr>
          <w:b/>
          <w:sz w:val="18"/>
          <w:szCs w:val="18"/>
        </w:rPr>
        <w:t>1</w:t>
      </w:r>
      <w:r w:rsidR="00FC679E">
        <w:rPr>
          <w:b/>
          <w:sz w:val="18"/>
          <w:szCs w:val="18"/>
        </w:rPr>
        <w:t>.</w:t>
      </w:r>
      <w:r w:rsidRPr="00FC679E">
        <w:rPr>
          <w:b/>
          <w:sz w:val="18"/>
          <w:szCs w:val="18"/>
        </w:rPr>
        <w:t xml:space="preserve"> Surface Plot for Joint Effect</w:t>
      </w:r>
      <w:r w:rsidR="00FC679E">
        <w:rPr>
          <w:b/>
          <w:sz w:val="18"/>
          <w:szCs w:val="18"/>
        </w:rPr>
        <w:t>s</w:t>
      </w:r>
      <w:r w:rsidRPr="00FC679E">
        <w:rPr>
          <w:b/>
          <w:sz w:val="18"/>
          <w:szCs w:val="18"/>
        </w:rPr>
        <w:t xml:space="preserve"> of Incremental Supplier Investments (</w:t>
      </w:r>
      <w:r w:rsidR="00C01960" w:rsidRPr="00FC679E">
        <w:rPr>
          <w:b/>
          <w:sz w:val="18"/>
          <w:szCs w:val="18"/>
        </w:rPr>
        <w:t>SINVT2</w:t>
      </w:r>
      <w:r w:rsidRPr="00FC679E">
        <w:rPr>
          <w:b/>
          <w:sz w:val="18"/>
          <w:szCs w:val="18"/>
        </w:rPr>
        <w:t xml:space="preserve">) and </w:t>
      </w:r>
      <w:r w:rsidR="00315AEF" w:rsidRPr="00FC679E">
        <w:rPr>
          <w:b/>
          <w:sz w:val="18"/>
          <w:szCs w:val="18"/>
        </w:rPr>
        <w:t xml:space="preserve">Initial </w:t>
      </w:r>
      <w:r w:rsidRPr="00FC679E">
        <w:rPr>
          <w:b/>
          <w:sz w:val="18"/>
          <w:szCs w:val="18"/>
        </w:rPr>
        <w:t xml:space="preserve">Reseller </w:t>
      </w:r>
      <w:r w:rsidR="0089722F" w:rsidRPr="00FC679E">
        <w:rPr>
          <w:b/>
          <w:sz w:val="18"/>
          <w:szCs w:val="18"/>
        </w:rPr>
        <w:t>Selection</w:t>
      </w:r>
      <w:r w:rsidRPr="00FC679E">
        <w:rPr>
          <w:b/>
          <w:sz w:val="18"/>
          <w:szCs w:val="18"/>
        </w:rPr>
        <w:t xml:space="preserve"> </w:t>
      </w:r>
      <w:r w:rsidR="00B97DF0" w:rsidRPr="00FC679E">
        <w:rPr>
          <w:b/>
          <w:sz w:val="18"/>
          <w:szCs w:val="18"/>
        </w:rPr>
        <w:t xml:space="preserve">Efforts </w:t>
      </w:r>
      <w:r w:rsidRPr="00FC679E">
        <w:rPr>
          <w:b/>
          <w:sz w:val="18"/>
          <w:szCs w:val="18"/>
        </w:rPr>
        <w:t>(</w:t>
      </w:r>
      <w:r w:rsidR="003B7993" w:rsidRPr="00FC679E">
        <w:rPr>
          <w:b/>
          <w:sz w:val="18"/>
          <w:szCs w:val="18"/>
        </w:rPr>
        <w:t>SSEL</w:t>
      </w:r>
      <w:r w:rsidRPr="00FC679E">
        <w:rPr>
          <w:b/>
          <w:sz w:val="18"/>
          <w:szCs w:val="18"/>
        </w:rPr>
        <w:t xml:space="preserve">T1) on </w:t>
      </w:r>
      <w:r w:rsidR="00AA5B5D" w:rsidRPr="00727D37">
        <w:rPr>
          <w:b/>
          <w:sz w:val="18"/>
          <w:szCs w:val="18"/>
        </w:rPr>
        <w:t>Ex Post</w:t>
      </w:r>
      <w:r w:rsidRPr="00FC679E">
        <w:rPr>
          <w:b/>
          <w:sz w:val="18"/>
          <w:szCs w:val="18"/>
        </w:rPr>
        <w:t xml:space="preserve"> Transaction Costs</w:t>
      </w:r>
      <w:r w:rsidRPr="00605672">
        <w:rPr>
          <w:b/>
          <w:sz w:val="18"/>
          <w:szCs w:val="18"/>
        </w:rPr>
        <w:t xml:space="preserve"> (</w:t>
      </w:r>
      <w:r w:rsidR="00756B07" w:rsidRPr="00605672">
        <w:rPr>
          <w:b/>
          <w:sz w:val="18"/>
          <w:szCs w:val="18"/>
        </w:rPr>
        <w:t>STCT2</w:t>
      </w:r>
      <w:r w:rsidRPr="00605672">
        <w:rPr>
          <w:b/>
          <w:sz w:val="18"/>
          <w:szCs w:val="18"/>
        </w:rPr>
        <w:t>)</w:t>
      </w:r>
      <w:r w:rsidR="00FC679E">
        <w:rPr>
          <w:b/>
          <w:sz w:val="18"/>
          <w:szCs w:val="18"/>
        </w:rPr>
        <w:t xml:space="preserve"> (H</w:t>
      </w:r>
      <w:r w:rsidR="00FC679E">
        <w:rPr>
          <w:b/>
          <w:sz w:val="18"/>
          <w:szCs w:val="18"/>
          <w:vertAlign w:val="subscript"/>
        </w:rPr>
        <w:t>3a</w:t>
      </w:r>
      <w:r w:rsidR="00FC679E">
        <w:rPr>
          <w:b/>
          <w:sz w:val="18"/>
          <w:szCs w:val="18"/>
        </w:rPr>
        <w:t>)</w:t>
      </w:r>
    </w:p>
    <w:p w14:paraId="208C2834" w14:textId="77777777" w:rsidR="00125096" w:rsidRPr="00605672" w:rsidRDefault="00125096">
      <w:pPr>
        <w:ind w:left="567" w:hanging="1017"/>
        <w:jc w:val="center"/>
        <w:rPr>
          <w:b/>
          <w:sz w:val="18"/>
          <w:szCs w:val="18"/>
        </w:rPr>
      </w:pPr>
    </w:p>
    <w:p w14:paraId="3BEF052B" w14:textId="451A486D" w:rsidR="009C5E35" w:rsidRPr="00605672" w:rsidRDefault="00D90DFD">
      <w:pPr>
        <w:ind w:left="567" w:hanging="1017"/>
        <w:jc w:val="center"/>
        <w:rPr>
          <w:b/>
          <w:sz w:val="18"/>
          <w:szCs w:val="18"/>
        </w:rPr>
      </w:pPr>
      <w:r>
        <w:rPr>
          <w:noProof/>
          <w:sz w:val="18"/>
          <w:szCs w:val="18"/>
          <w:u w:val="single"/>
          <w:lang w:val="nb-NO" w:eastAsia="nb-NO"/>
        </w:rPr>
        <mc:AlternateContent>
          <mc:Choice Requires="wps">
            <w:drawing>
              <wp:anchor distT="0" distB="0" distL="114300" distR="114300" simplePos="0" relativeHeight="251667968" behindDoc="0" locked="0" layoutInCell="1" allowOverlap="1" wp14:anchorId="73C4D256" wp14:editId="1D259037">
                <wp:simplePos x="0" y="0"/>
                <wp:positionH relativeFrom="column">
                  <wp:posOffset>-223520</wp:posOffset>
                </wp:positionH>
                <wp:positionV relativeFrom="paragraph">
                  <wp:posOffset>3169920</wp:posOffset>
                </wp:positionV>
                <wp:extent cx="6135370" cy="414020"/>
                <wp:effectExtent l="0" t="0" r="0" b="0"/>
                <wp:wrapNone/>
                <wp:docPr id="22"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5370" cy="414020"/>
                        </a:xfrm>
                        <a:prstGeom prst="rect">
                          <a:avLst/>
                        </a:prstGeom>
                        <a:solidFill>
                          <a:srgbClr val="FFFFFF"/>
                        </a:solidFill>
                        <a:ln>
                          <a:noFill/>
                        </a:ln>
                        <a:extLst>
                          <a:ext uri="{91240B29-F687-4f45-9708-019B960494DF}"/>
                        </a:extLst>
                      </wps:spPr>
                      <wps:txbx>
                        <w:txbxContent>
                          <w:p w14:paraId="66E39E01" w14:textId="359BC689" w:rsidR="004A1B6C" w:rsidRPr="00FC5E21" w:rsidRDefault="004A1B6C" w:rsidP="00AB6FB8">
                            <w:pPr>
                              <w:rPr>
                                <w:b/>
                                <w:sz w:val="18"/>
                                <w:szCs w:val="18"/>
                                <w:u w:val="single"/>
                              </w:rPr>
                            </w:pPr>
                            <w:r w:rsidRPr="00727D37">
                              <w:rPr>
                                <w:sz w:val="18"/>
                                <w:szCs w:val="18"/>
                              </w:rPr>
                              <w:t>Notes:</w:t>
                            </w:r>
                            <w:r>
                              <w:rPr>
                                <w:sz w:val="18"/>
                                <w:szCs w:val="18"/>
                              </w:rPr>
                              <w:t xml:space="preserve"> The v</w:t>
                            </w:r>
                            <w:r w:rsidRPr="00FC5E21">
                              <w:rPr>
                                <w:sz w:val="18"/>
                                <w:szCs w:val="18"/>
                              </w:rPr>
                              <w:t xml:space="preserve">ertical (Y) axis represents supplier transaction costs; horizontal (X) axis represents </w:t>
                            </w:r>
                            <w:r>
                              <w:rPr>
                                <w:sz w:val="18"/>
                                <w:szCs w:val="18"/>
                              </w:rPr>
                              <w:t xml:space="preserve">initial reseller selection efforts; </w:t>
                            </w:r>
                            <w:r w:rsidRPr="00FC5E21">
                              <w:rPr>
                                <w:sz w:val="18"/>
                                <w:szCs w:val="18"/>
                              </w:rPr>
                              <w:t xml:space="preserve">depth (Z) axis represents supplier incremental investments. Colored boxes </w:t>
                            </w:r>
                            <w:r>
                              <w:rPr>
                                <w:sz w:val="18"/>
                                <w:szCs w:val="18"/>
                              </w:rPr>
                              <w:t xml:space="preserve">indicate </w:t>
                            </w:r>
                            <w:r w:rsidRPr="00FC5E21">
                              <w:rPr>
                                <w:sz w:val="18"/>
                                <w:szCs w:val="18"/>
                              </w:rPr>
                              <w:t>different transaction cost</w:t>
                            </w:r>
                            <w:r>
                              <w:rPr>
                                <w:sz w:val="18"/>
                                <w:szCs w:val="18"/>
                              </w:rPr>
                              <w:t>s</w:t>
                            </w:r>
                            <w:r w:rsidRPr="00FC5E21">
                              <w:rPr>
                                <w:sz w:val="18"/>
                                <w:szCs w:val="18"/>
                              </w:rPr>
                              <w:t>. All focal dependent and independent variables are mean centered.</w:t>
                            </w:r>
                            <w:r>
                              <w:rPr>
                                <w:sz w:val="18"/>
                                <w:szCs w:val="18"/>
                              </w:rPr>
                              <w:t xml:space="preserve"> </w:t>
                            </w:r>
                          </w:p>
                          <w:p w14:paraId="45317616" w14:textId="77777777" w:rsidR="004A1B6C" w:rsidRDefault="004A1B6C" w:rsidP="00AB6FB8">
                            <w:pPr>
                              <w:ind w:left="-630"/>
                              <w:rPr>
                                <w:b/>
                                <w:sz w:val="18"/>
                                <w:szCs w:val="18"/>
                              </w:rPr>
                            </w:pPr>
                          </w:p>
                          <w:p w14:paraId="158C0F26" w14:textId="77777777" w:rsidR="004A1B6C" w:rsidRDefault="004A1B6C" w:rsidP="00AB6F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4D256" id="Rectangle 176" o:spid="_x0000_s1036" style="position:absolute;left:0;text-align:left;margin-left:-17.6pt;margin-top:249.6pt;width:483.1pt;height:32.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" stroked="f">
                <v:path arrowok="t"/>
                <v:textbox inset="0,0,0,0">
                  <w:txbxContent>
                    <w:p w14:paraId="66E39E01" w14:textId="359BC689" w:rsidR="004A1B6C" w:rsidRPr="00FC5E21" w:rsidRDefault="004A1B6C" w:rsidP="00AB6FB8">
                      <w:pPr>
                        <w:rPr>
                          <w:b/>
                          <w:sz w:val="18"/>
                          <w:szCs w:val="18"/>
                          <w:u w:val="single"/>
                        </w:rPr>
                      </w:pPr>
                      <w:r w:rsidRPr="00727D37">
                        <w:rPr>
                          <w:sz w:val="18"/>
                          <w:szCs w:val="18"/>
                        </w:rPr>
                        <w:t>Notes:</w:t>
                      </w:r>
                      <w:r>
                        <w:rPr>
                          <w:sz w:val="18"/>
                          <w:szCs w:val="18"/>
                        </w:rPr>
                        <w:t xml:space="preserve"> The v</w:t>
                      </w:r>
                      <w:r w:rsidRPr="00FC5E21">
                        <w:rPr>
                          <w:sz w:val="18"/>
                          <w:szCs w:val="18"/>
                        </w:rPr>
                        <w:t xml:space="preserve">ertical (Y) axis represents supplier transaction costs; horizontal (X) axis represents </w:t>
                      </w:r>
                      <w:r>
                        <w:rPr>
                          <w:sz w:val="18"/>
                          <w:szCs w:val="18"/>
                        </w:rPr>
                        <w:t xml:space="preserve">initial reseller selection efforts; </w:t>
                      </w:r>
                      <w:r w:rsidRPr="00FC5E21">
                        <w:rPr>
                          <w:sz w:val="18"/>
                          <w:szCs w:val="18"/>
                        </w:rPr>
                        <w:t xml:space="preserve">depth (Z) axis represents supplier incremental investments. Colored boxes </w:t>
                      </w:r>
                      <w:r>
                        <w:rPr>
                          <w:sz w:val="18"/>
                          <w:szCs w:val="18"/>
                        </w:rPr>
                        <w:t xml:space="preserve">indicate </w:t>
                      </w:r>
                      <w:r w:rsidRPr="00FC5E21">
                        <w:rPr>
                          <w:sz w:val="18"/>
                          <w:szCs w:val="18"/>
                        </w:rPr>
                        <w:t>different transaction cost</w:t>
                      </w:r>
                      <w:r>
                        <w:rPr>
                          <w:sz w:val="18"/>
                          <w:szCs w:val="18"/>
                        </w:rPr>
                        <w:t>s</w:t>
                      </w:r>
                      <w:r w:rsidRPr="00FC5E21">
                        <w:rPr>
                          <w:sz w:val="18"/>
                          <w:szCs w:val="18"/>
                        </w:rPr>
                        <w:t>. All focal dependent and independent variables are mean centered.</w:t>
                      </w:r>
                      <w:r>
                        <w:rPr>
                          <w:sz w:val="18"/>
                          <w:szCs w:val="18"/>
                        </w:rPr>
                        <w:t xml:space="preserve"> </w:t>
                      </w:r>
                    </w:p>
                    <w:p w14:paraId="45317616" w14:textId="77777777" w:rsidR="004A1B6C" w:rsidRDefault="004A1B6C" w:rsidP="00AB6FB8">
                      <w:pPr>
                        <w:ind w:left="-630"/>
                        <w:rPr>
                          <w:b/>
                          <w:sz w:val="18"/>
                          <w:szCs w:val="18"/>
                        </w:rPr>
                      </w:pPr>
                    </w:p>
                    <w:p w14:paraId="158C0F26" w14:textId="77777777" w:rsidR="004A1B6C" w:rsidRDefault="004A1B6C" w:rsidP="00AB6FB8"/>
                  </w:txbxContent>
                </v:textbox>
              </v:rect>
            </w:pict>
          </mc:Fallback>
        </mc:AlternateContent>
      </w:r>
      <w:r w:rsidR="00E4279F" w:rsidRPr="00605672">
        <w:rPr>
          <w:b/>
          <w:noProof/>
          <w:sz w:val="18"/>
          <w:szCs w:val="18"/>
          <w:lang w:val="nb-NO" w:eastAsia="nb-NO"/>
        </w:rPr>
        <w:drawing>
          <wp:inline distT="0" distB="0" distL="0" distR="0" wp14:anchorId="60C61039" wp14:editId="2969329A">
            <wp:extent cx="6126480" cy="3499658"/>
            <wp:effectExtent l="19050" t="0" r="7620" b="0"/>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b/>
          <w:noProof/>
          <w:sz w:val="18"/>
          <w:szCs w:val="18"/>
          <w:lang w:val="nb-NO" w:eastAsia="nb-NO"/>
        </w:rPr>
        <mc:AlternateContent>
          <mc:Choice Requires="wps">
            <w:drawing>
              <wp:anchor distT="4294967294" distB="4294967294" distL="114300" distR="114300" simplePos="0" relativeHeight="251663872" behindDoc="0" locked="0" layoutInCell="1" allowOverlap="1" wp14:anchorId="43C6F3E5" wp14:editId="2366ABE9">
                <wp:simplePos x="0" y="0"/>
                <wp:positionH relativeFrom="column">
                  <wp:posOffset>-415290</wp:posOffset>
                </wp:positionH>
                <wp:positionV relativeFrom="paragraph">
                  <wp:posOffset>14604</wp:posOffset>
                </wp:positionV>
                <wp:extent cx="6100445" cy="0"/>
                <wp:effectExtent l="0" t="0" r="14605"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00445"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0BDB5EA" id="Line 2"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7pt,1.15pt" to="447.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">
                <o:lock v:ext="edit" shapetype="f"/>
              </v:line>
            </w:pict>
          </mc:Fallback>
        </mc:AlternateContent>
      </w:r>
    </w:p>
    <w:p w14:paraId="5BA617E3" w14:textId="77777777" w:rsidR="009C5E35" w:rsidRPr="00605672" w:rsidRDefault="009C5E35" w:rsidP="00B82AFA">
      <w:pPr>
        <w:rPr>
          <w:noProof/>
        </w:rPr>
      </w:pPr>
    </w:p>
    <w:p w14:paraId="3186C831" w14:textId="77777777" w:rsidR="006B7FE0" w:rsidRPr="00605672" w:rsidRDefault="006B7FE0" w:rsidP="0000050F">
      <w:pPr>
        <w:ind w:left="567" w:hanging="1017"/>
        <w:jc w:val="center"/>
        <w:rPr>
          <w:b/>
          <w:sz w:val="12"/>
          <w:szCs w:val="12"/>
        </w:rPr>
      </w:pPr>
    </w:p>
    <w:p w14:paraId="1ABADD8A" w14:textId="0EB21B61" w:rsidR="00A71D0F" w:rsidRPr="00605672" w:rsidRDefault="007B6151" w:rsidP="0000050F">
      <w:pPr>
        <w:ind w:left="567" w:hanging="1017"/>
        <w:jc w:val="center"/>
        <w:rPr>
          <w:b/>
          <w:sz w:val="18"/>
          <w:szCs w:val="18"/>
        </w:rPr>
      </w:pPr>
      <w:r w:rsidRPr="00605672">
        <w:rPr>
          <w:b/>
          <w:sz w:val="18"/>
          <w:szCs w:val="18"/>
        </w:rPr>
        <w:t>A2</w:t>
      </w:r>
      <w:r w:rsidR="00FC679E">
        <w:rPr>
          <w:b/>
          <w:sz w:val="18"/>
          <w:szCs w:val="18"/>
        </w:rPr>
        <w:t>.</w:t>
      </w:r>
      <w:r w:rsidR="009100FE" w:rsidRPr="00605672">
        <w:rPr>
          <w:b/>
          <w:sz w:val="18"/>
          <w:szCs w:val="18"/>
        </w:rPr>
        <w:t xml:space="preserve"> </w:t>
      </w:r>
      <w:r w:rsidRPr="00605672">
        <w:rPr>
          <w:b/>
          <w:sz w:val="18"/>
          <w:szCs w:val="18"/>
        </w:rPr>
        <w:t xml:space="preserve">Slope </w:t>
      </w:r>
      <w:r w:rsidR="00A71D0F" w:rsidRPr="00605672">
        <w:rPr>
          <w:b/>
          <w:sz w:val="18"/>
          <w:szCs w:val="18"/>
        </w:rPr>
        <w:t>of Incremental Supplier Investments (</w:t>
      </w:r>
      <w:r w:rsidR="00C01960" w:rsidRPr="00605672">
        <w:rPr>
          <w:b/>
          <w:sz w:val="18"/>
          <w:szCs w:val="18"/>
        </w:rPr>
        <w:t>SINVT2</w:t>
      </w:r>
      <w:r w:rsidR="00A71D0F" w:rsidRPr="00605672">
        <w:rPr>
          <w:b/>
          <w:sz w:val="18"/>
          <w:szCs w:val="18"/>
        </w:rPr>
        <w:t xml:space="preserve">) on </w:t>
      </w:r>
      <w:r w:rsidR="00AA5B5D" w:rsidRPr="00727D37">
        <w:rPr>
          <w:b/>
          <w:sz w:val="18"/>
          <w:szCs w:val="18"/>
        </w:rPr>
        <w:t>Ex Post</w:t>
      </w:r>
      <w:r w:rsidR="00A71D0F" w:rsidRPr="00605672">
        <w:rPr>
          <w:b/>
          <w:sz w:val="18"/>
          <w:szCs w:val="18"/>
        </w:rPr>
        <w:t xml:space="preserve"> Transaction Costs (</w:t>
      </w:r>
      <w:r w:rsidR="00756B07" w:rsidRPr="00605672">
        <w:rPr>
          <w:b/>
          <w:sz w:val="18"/>
          <w:szCs w:val="18"/>
        </w:rPr>
        <w:t>STCT2</w:t>
      </w:r>
      <w:r w:rsidR="00C352BA" w:rsidRPr="00605672">
        <w:rPr>
          <w:b/>
          <w:sz w:val="18"/>
          <w:szCs w:val="18"/>
        </w:rPr>
        <w:t xml:space="preserve">) </w:t>
      </w:r>
      <w:r w:rsidRPr="00605672">
        <w:rPr>
          <w:b/>
          <w:sz w:val="18"/>
          <w:szCs w:val="18"/>
        </w:rPr>
        <w:t xml:space="preserve">over the Range of </w:t>
      </w:r>
      <w:r w:rsidR="00306686" w:rsidRPr="00605672">
        <w:rPr>
          <w:b/>
          <w:sz w:val="18"/>
          <w:szCs w:val="18"/>
        </w:rPr>
        <w:t xml:space="preserve">Initial </w:t>
      </w:r>
      <w:r w:rsidR="002C7772" w:rsidRPr="00605672">
        <w:rPr>
          <w:b/>
          <w:sz w:val="18"/>
          <w:szCs w:val="18"/>
        </w:rPr>
        <w:t>Reseller</w:t>
      </w:r>
      <w:r w:rsidRPr="00605672">
        <w:rPr>
          <w:b/>
          <w:sz w:val="18"/>
          <w:szCs w:val="18"/>
        </w:rPr>
        <w:t xml:space="preserve"> </w:t>
      </w:r>
      <w:r w:rsidR="0089722F" w:rsidRPr="00605672">
        <w:rPr>
          <w:b/>
          <w:sz w:val="18"/>
          <w:szCs w:val="18"/>
        </w:rPr>
        <w:t>Selection</w:t>
      </w:r>
      <w:r w:rsidRPr="00605672">
        <w:rPr>
          <w:b/>
          <w:sz w:val="18"/>
          <w:szCs w:val="18"/>
        </w:rPr>
        <w:t xml:space="preserve"> </w:t>
      </w:r>
      <w:r w:rsidR="00B97DF0" w:rsidRPr="00605672">
        <w:rPr>
          <w:b/>
          <w:sz w:val="18"/>
          <w:szCs w:val="18"/>
        </w:rPr>
        <w:t xml:space="preserve">Efforts </w:t>
      </w:r>
      <w:r w:rsidRPr="00605672">
        <w:rPr>
          <w:b/>
          <w:sz w:val="18"/>
          <w:szCs w:val="18"/>
        </w:rPr>
        <w:t>(</w:t>
      </w:r>
      <w:r w:rsidR="003B7993" w:rsidRPr="00605672">
        <w:rPr>
          <w:b/>
          <w:sz w:val="18"/>
          <w:szCs w:val="18"/>
        </w:rPr>
        <w:t>SSEL</w:t>
      </w:r>
      <w:r w:rsidRPr="00605672">
        <w:rPr>
          <w:b/>
          <w:sz w:val="18"/>
          <w:szCs w:val="18"/>
        </w:rPr>
        <w:t>T1)</w:t>
      </w:r>
      <w:r w:rsidR="00FC679E">
        <w:rPr>
          <w:b/>
          <w:sz w:val="18"/>
          <w:szCs w:val="18"/>
        </w:rPr>
        <w:t xml:space="preserve"> (H</w:t>
      </w:r>
      <w:r w:rsidR="00FC679E">
        <w:rPr>
          <w:b/>
          <w:sz w:val="18"/>
          <w:szCs w:val="18"/>
          <w:vertAlign w:val="subscript"/>
        </w:rPr>
        <w:t>3a</w:t>
      </w:r>
      <w:r w:rsidR="00FC679E">
        <w:rPr>
          <w:b/>
          <w:sz w:val="18"/>
          <w:szCs w:val="18"/>
        </w:rPr>
        <w:t>)</w:t>
      </w:r>
    </w:p>
    <w:p w14:paraId="0DD1B387" w14:textId="5AD66F92" w:rsidR="00C14809" w:rsidRPr="00605672" w:rsidRDefault="00D90DFD" w:rsidP="0000050F">
      <w:pPr>
        <w:ind w:left="567" w:hanging="1017"/>
        <w:jc w:val="center"/>
        <w:rPr>
          <w:b/>
          <w:sz w:val="18"/>
          <w:szCs w:val="18"/>
        </w:rPr>
      </w:pPr>
      <w:r>
        <w:rPr>
          <w:b/>
          <w:noProof/>
          <w:sz w:val="18"/>
          <w:szCs w:val="18"/>
          <w:lang w:val="nb-NO" w:eastAsia="nb-NO"/>
        </w:rPr>
        <mc:AlternateContent>
          <mc:Choice Requires="wps">
            <w:drawing>
              <wp:anchor distT="4294967294" distB="4294967294" distL="114300" distR="114300" simplePos="0" relativeHeight="251664896" behindDoc="0" locked="0" layoutInCell="1" allowOverlap="1" wp14:anchorId="428769A3" wp14:editId="1975E4C7">
                <wp:simplePos x="0" y="0"/>
                <wp:positionH relativeFrom="column">
                  <wp:posOffset>-313690</wp:posOffset>
                </wp:positionH>
                <wp:positionV relativeFrom="paragraph">
                  <wp:posOffset>49529</wp:posOffset>
                </wp:positionV>
                <wp:extent cx="6225540" cy="0"/>
                <wp:effectExtent l="0" t="0" r="3810" b="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554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C046962" id="Line 18"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7pt,3.9pt" to="46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">
                <o:lock v:ext="edit" shapetype="f"/>
              </v:line>
            </w:pict>
          </mc:Fallback>
        </mc:AlternateContent>
      </w:r>
      <w:r w:rsidR="00306686" w:rsidRPr="00605672">
        <w:rPr>
          <w:b/>
          <w:noProof/>
          <w:sz w:val="18"/>
          <w:szCs w:val="18"/>
          <w:lang w:val="nb-NO" w:eastAsia="nb-NO"/>
        </w:rPr>
        <w:drawing>
          <wp:inline distT="0" distB="0" distL="0" distR="0" wp14:anchorId="5FEC7D10" wp14:editId="0E86A967">
            <wp:extent cx="5772150" cy="2834640"/>
            <wp:effectExtent l="0" t="0" r="19050" b="35560"/>
            <wp:docPr id="1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E104F4" w14:textId="6413D21E" w:rsidR="00C14809" w:rsidRPr="00605672" w:rsidRDefault="00D90DFD" w:rsidP="0000050F">
      <w:pPr>
        <w:ind w:left="567" w:hanging="1017"/>
        <w:jc w:val="center"/>
        <w:rPr>
          <w:b/>
          <w:sz w:val="18"/>
          <w:szCs w:val="18"/>
        </w:rPr>
      </w:pPr>
      <w:r>
        <w:rPr>
          <w:b/>
          <w:noProof/>
          <w:sz w:val="18"/>
          <w:szCs w:val="18"/>
          <w:lang w:val="nb-NO" w:eastAsia="nb-NO"/>
        </w:rPr>
        <mc:AlternateContent>
          <mc:Choice Requires="wps">
            <w:drawing>
              <wp:anchor distT="0" distB="0" distL="114300" distR="114300" simplePos="0" relativeHeight="251671040" behindDoc="0" locked="0" layoutInCell="1" allowOverlap="1" wp14:anchorId="5F1D9F0C" wp14:editId="25EF3011">
                <wp:simplePos x="0" y="0"/>
                <wp:positionH relativeFrom="column">
                  <wp:posOffset>-415290</wp:posOffset>
                </wp:positionH>
                <wp:positionV relativeFrom="paragraph">
                  <wp:posOffset>40640</wp:posOffset>
                </wp:positionV>
                <wp:extent cx="6327140" cy="503555"/>
                <wp:effectExtent l="0" t="0" r="0" b="0"/>
                <wp:wrapNone/>
                <wp:docPr id="1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7140" cy="503555"/>
                        </a:xfrm>
                        <a:prstGeom prst="rect">
                          <a:avLst/>
                        </a:prstGeom>
                        <a:solidFill>
                          <a:srgbClr val="FFFFFF"/>
                        </a:solidFill>
                        <a:ln>
                          <a:noFill/>
                        </a:ln>
                        <a:extLst>
                          <a:ext uri="{91240B29-F687-4f45-9708-019B960494DF}"/>
                        </a:extLst>
                      </wps:spPr>
                      <wps:txbx>
                        <w:txbxContent>
                          <w:p w14:paraId="300B459B" w14:textId="3FD096F8" w:rsidR="004A1B6C" w:rsidRPr="00FD2E70" w:rsidRDefault="004A1B6C" w:rsidP="009520A9">
                            <w:pPr>
                              <w:rPr>
                                <w:sz w:val="18"/>
                                <w:szCs w:val="18"/>
                              </w:rPr>
                            </w:pPr>
                            <w:r w:rsidRPr="00727D37">
                              <w:rPr>
                                <w:sz w:val="18"/>
                                <w:szCs w:val="18"/>
                              </w:rPr>
                              <w:t>Notes</w:t>
                            </w:r>
                            <w:r>
                              <w:rPr>
                                <w:sz w:val="18"/>
                                <w:szCs w:val="18"/>
                              </w:rPr>
                              <w:t>:</w:t>
                            </w:r>
                            <w:r w:rsidRPr="00FD2E70">
                              <w:rPr>
                                <w:sz w:val="18"/>
                                <w:szCs w:val="18"/>
                              </w:rPr>
                              <w:t xml:space="preserve"> Slope coefficients for the effect of supplier incremental investments on transaction costs are displayed on the plot. These coefficients are plotted at the minimum (β</w:t>
                            </w:r>
                            <w:r w:rsidRPr="00FD2E70">
                              <w:rPr>
                                <w:sz w:val="18"/>
                                <w:szCs w:val="18"/>
                                <w:vertAlign w:val="subscript"/>
                              </w:rPr>
                              <w:t>Min</w:t>
                            </w:r>
                            <w:r w:rsidRPr="00FD2E70">
                              <w:rPr>
                                <w:sz w:val="18"/>
                                <w:szCs w:val="18"/>
                              </w:rPr>
                              <w:t>)</w:t>
                            </w:r>
                            <w:r>
                              <w:rPr>
                                <w:sz w:val="18"/>
                                <w:szCs w:val="18"/>
                              </w:rPr>
                              <w:t>,</w:t>
                            </w:r>
                            <w:r w:rsidRPr="00FD2E70">
                              <w:rPr>
                                <w:sz w:val="18"/>
                                <w:szCs w:val="18"/>
                              </w:rPr>
                              <w:t xml:space="preserve"> </w:t>
                            </w:r>
                            <w:r>
                              <w:rPr>
                                <w:sz w:val="18"/>
                                <w:szCs w:val="18"/>
                              </w:rPr>
                              <w:t>–</w:t>
                            </w:r>
                            <w:r w:rsidRPr="00FD2E70">
                              <w:rPr>
                                <w:sz w:val="18"/>
                                <w:szCs w:val="18"/>
                              </w:rPr>
                              <w:t>1SD (β</w:t>
                            </w:r>
                            <w:r>
                              <w:rPr>
                                <w:sz w:val="18"/>
                                <w:szCs w:val="18"/>
                                <w:vertAlign w:val="subscript"/>
                              </w:rPr>
                              <w:t>–</w:t>
                            </w:r>
                            <w:r w:rsidRPr="00FD2E70">
                              <w:rPr>
                                <w:sz w:val="18"/>
                                <w:szCs w:val="18"/>
                                <w:vertAlign w:val="subscript"/>
                              </w:rPr>
                              <w:t>1SD</w:t>
                            </w:r>
                            <w:r w:rsidRPr="00FD2E70">
                              <w:rPr>
                                <w:sz w:val="18"/>
                                <w:szCs w:val="18"/>
                              </w:rPr>
                              <w:t>)</w:t>
                            </w:r>
                            <w:r>
                              <w:rPr>
                                <w:sz w:val="18"/>
                                <w:szCs w:val="18"/>
                              </w:rPr>
                              <w:t>, the</w:t>
                            </w:r>
                            <w:r w:rsidRPr="00FD2E70">
                              <w:rPr>
                                <w:sz w:val="18"/>
                                <w:szCs w:val="18"/>
                              </w:rPr>
                              <w:t xml:space="preserve"> mean (β</w:t>
                            </w:r>
                            <w:r w:rsidRPr="00FD2E70">
                              <w:rPr>
                                <w:sz w:val="18"/>
                                <w:szCs w:val="18"/>
                                <w:vertAlign w:val="subscript"/>
                              </w:rPr>
                              <w:t>Mean</w:t>
                            </w:r>
                            <w:r w:rsidRPr="00FD2E70">
                              <w:rPr>
                                <w:sz w:val="18"/>
                                <w:szCs w:val="18"/>
                              </w:rPr>
                              <w:t>)</w:t>
                            </w:r>
                            <w:r>
                              <w:rPr>
                                <w:sz w:val="18"/>
                                <w:szCs w:val="18"/>
                              </w:rPr>
                              <w:t>,</w:t>
                            </w:r>
                            <w:r w:rsidRPr="00FD2E70">
                              <w:rPr>
                                <w:sz w:val="18"/>
                                <w:szCs w:val="18"/>
                              </w:rPr>
                              <w:t xml:space="preserve"> +1 SD (β</w:t>
                            </w:r>
                            <w:r>
                              <w:rPr>
                                <w:sz w:val="18"/>
                                <w:szCs w:val="18"/>
                                <w:vertAlign w:val="subscript"/>
                              </w:rPr>
                              <w:t>+</w:t>
                            </w:r>
                            <w:r w:rsidRPr="00FD2E70">
                              <w:rPr>
                                <w:sz w:val="18"/>
                                <w:szCs w:val="18"/>
                                <w:vertAlign w:val="subscript"/>
                              </w:rPr>
                              <w:t>1SD</w:t>
                            </w:r>
                            <w:r w:rsidRPr="00FD2E70">
                              <w:rPr>
                                <w:sz w:val="18"/>
                                <w:szCs w:val="18"/>
                              </w:rPr>
                              <w:t>)</w:t>
                            </w:r>
                            <w:r>
                              <w:rPr>
                                <w:sz w:val="18"/>
                                <w:szCs w:val="18"/>
                              </w:rPr>
                              <w:t>,</w:t>
                            </w:r>
                            <w:r w:rsidRPr="00FD2E70">
                              <w:rPr>
                                <w:sz w:val="18"/>
                                <w:szCs w:val="18"/>
                              </w:rPr>
                              <w:t xml:space="preserve"> and </w:t>
                            </w:r>
                            <w:r>
                              <w:rPr>
                                <w:sz w:val="18"/>
                                <w:szCs w:val="18"/>
                              </w:rPr>
                              <w:t xml:space="preserve">the maximum </w:t>
                            </w:r>
                            <w:r w:rsidRPr="00FD2E70">
                              <w:rPr>
                                <w:sz w:val="18"/>
                                <w:szCs w:val="18"/>
                              </w:rPr>
                              <w:t>(β</w:t>
                            </w:r>
                            <w:r w:rsidRPr="00FD2E70">
                              <w:rPr>
                                <w:sz w:val="18"/>
                                <w:szCs w:val="18"/>
                                <w:vertAlign w:val="subscript"/>
                              </w:rPr>
                              <w:t>Max</w:t>
                            </w:r>
                            <w:r w:rsidRPr="00FD2E70">
                              <w:rPr>
                                <w:sz w:val="18"/>
                                <w:szCs w:val="18"/>
                              </w:rPr>
                              <w:t xml:space="preserve">) </w:t>
                            </w:r>
                            <w:r>
                              <w:rPr>
                                <w:sz w:val="18"/>
                                <w:szCs w:val="18"/>
                              </w:rPr>
                              <w:t>values</w:t>
                            </w:r>
                            <w:r w:rsidRPr="00FD2E70">
                              <w:rPr>
                                <w:sz w:val="18"/>
                                <w:szCs w:val="18"/>
                              </w:rPr>
                              <w:t xml:space="preserve"> of reseller </w:t>
                            </w:r>
                            <w:r>
                              <w:rPr>
                                <w:sz w:val="18"/>
                                <w:szCs w:val="18"/>
                              </w:rPr>
                              <w:t>selection</w:t>
                            </w:r>
                            <w:r w:rsidRPr="00FD2E70">
                              <w:rPr>
                                <w:sz w:val="18"/>
                                <w:szCs w:val="18"/>
                              </w:rPr>
                              <w:t xml:space="preserve"> </w:t>
                            </w:r>
                            <w:r>
                              <w:rPr>
                                <w:sz w:val="18"/>
                                <w:szCs w:val="18"/>
                              </w:rPr>
                              <w:t xml:space="preserve">efforts </w:t>
                            </w:r>
                            <w:r w:rsidRPr="00FD2E70">
                              <w:rPr>
                                <w:sz w:val="18"/>
                                <w:szCs w:val="18"/>
                              </w:rPr>
                              <w:t>(</w:t>
                            </w:r>
                            <w:r>
                              <w:rPr>
                                <w:sz w:val="18"/>
                                <w:szCs w:val="18"/>
                              </w:rPr>
                              <w:t>SSEL</w:t>
                            </w:r>
                            <w:r w:rsidRPr="00FD2E70">
                              <w:rPr>
                                <w:sz w:val="18"/>
                                <w:szCs w:val="18"/>
                              </w:rPr>
                              <w:t>T1), which are, respectively</w:t>
                            </w:r>
                            <w:r>
                              <w:rPr>
                                <w:sz w:val="18"/>
                                <w:szCs w:val="18"/>
                              </w:rPr>
                              <w:t>,</w:t>
                            </w:r>
                            <w:r w:rsidRPr="00FD2E70">
                              <w:rPr>
                                <w:sz w:val="18"/>
                                <w:szCs w:val="18"/>
                              </w:rPr>
                              <w:t xml:space="preserve"> </w:t>
                            </w:r>
                            <w:r>
                              <w:rPr>
                                <w:sz w:val="18"/>
                                <w:szCs w:val="18"/>
                              </w:rPr>
                              <w:t>–</w:t>
                            </w:r>
                            <w:r w:rsidRPr="00FD2E70">
                              <w:rPr>
                                <w:sz w:val="18"/>
                                <w:szCs w:val="18"/>
                              </w:rPr>
                              <w:t xml:space="preserve">5.57, </w:t>
                            </w:r>
                            <w:r>
                              <w:rPr>
                                <w:sz w:val="18"/>
                                <w:szCs w:val="18"/>
                              </w:rPr>
                              <w:t>–</w:t>
                            </w:r>
                            <w:r w:rsidRPr="00FD2E70">
                              <w:rPr>
                                <w:sz w:val="18"/>
                                <w:szCs w:val="18"/>
                              </w:rPr>
                              <w:t>2.78,</w:t>
                            </w:r>
                            <w:r>
                              <w:rPr>
                                <w:sz w:val="18"/>
                                <w:szCs w:val="18"/>
                              </w:rPr>
                              <w:t xml:space="preserve"> </w:t>
                            </w:r>
                            <w:r w:rsidRPr="00FD2E70">
                              <w:rPr>
                                <w:sz w:val="18"/>
                                <w:szCs w:val="18"/>
                              </w:rPr>
                              <w:t xml:space="preserve">0, 2.78, and 5.48. All </w:t>
                            </w:r>
                            <w:r>
                              <w:rPr>
                                <w:sz w:val="18"/>
                                <w:szCs w:val="18"/>
                              </w:rPr>
                              <w:t>interacted</w:t>
                            </w:r>
                            <w:r w:rsidRPr="00FD2E70">
                              <w:rPr>
                                <w:sz w:val="18"/>
                                <w:szCs w:val="18"/>
                              </w:rPr>
                              <w:t xml:space="preserve"> variables are mean centered.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D9F0C" id="Rectangle 185" o:spid="_x0000_s1037" style="position:absolute;left:0;text-align:left;margin-left:-32.7pt;margin-top:3.2pt;width:498.2pt;height:39.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" stroked="f">
                <v:path arrowok="t"/>
                <v:textbox inset="0,0,0,0">
                  <w:txbxContent>
                    <w:p w14:paraId="300B459B" w14:textId="3FD096F8" w:rsidR="004A1B6C" w:rsidRPr="00FD2E70" w:rsidRDefault="004A1B6C" w:rsidP="009520A9">
                      <w:pPr>
                        <w:rPr>
                          <w:sz w:val="18"/>
                          <w:szCs w:val="18"/>
                        </w:rPr>
                      </w:pPr>
                      <w:r w:rsidRPr="00727D37">
                        <w:rPr>
                          <w:sz w:val="18"/>
                          <w:szCs w:val="18"/>
                        </w:rPr>
                        <w:t>Notes</w:t>
                      </w:r>
                      <w:r>
                        <w:rPr>
                          <w:sz w:val="18"/>
                          <w:szCs w:val="18"/>
                        </w:rPr>
                        <w:t>:</w:t>
                      </w:r>
                      <w:r w:rsidRPr="00FD2E70">
                        <w:rPr>
                          <w:sz w:val="18"/>
                          <w:szCs w:val="18"/>
                        </w:rPr>
                        <w:t xml:space="preserve"> Slope coefficients for the effect of supplier incremental investments on transaction costs are displayed on the plot. These coefficients are plotted at the minimum (β</w:t>
                      </w:r>
                      <w:r w:rsidRPr="00FD2E70">
                        <w:rPr>
                          <w:sz w:val="18"/>
                          <w:szCs w:val="18"/>
                          <w:vertAlign w:val="subscript"/>
                        </w:rPr>
                        <w:t>Min</w:t>
                      </w:r>
                      <w:r w:rsidRPr="00FD2E70">
                        <w:rPr>
                          <w:sz w:val="18"/>
                          <w:szCs w:val="18"/>
                        </w:rPr>
                        <w:t>)</w:t>
                      </w:r>
                      <w:r>
                        <w:rPr>
                          <w:sz w:val="18"/>
                          <w:szCs w:val="18"/>
                        </w:rPr>
                        <w:t>,</w:t>
                      </w:r>
                      <w:r w:rsidRPr="00FD2E70">
                        <w:rPr>
                          <w:sz w:val="18"/>
                          <w:szCs w:val="18"/>
                        </w:rPr>
                        <w:t xml:space="preserve"> </w:t>
                      </w:r>
                      <w:r>
                        <w:rPr>
                          <w:sz w:val="18"/>
                          <w:szCs w:val="18"/>
                        </w:rPr>
                        <w:t>–</w:t>
                      </w:r>
                      <w:r w:rsidRPr="00FD2E70">
                        <w:rPr>
                          <w:sz w:val="18"/>
                          <w:szCs w:val="18"/>
                        </w:rPr>
                        <w:t>1SD (β</w:t>
                      </w:r>
                      <w:r>
                        <w:rPr>
                          <w:sz w:val="18"/>
                          <w:szCs w:val="18"/>
                          <w:vertAlign w:val="subscript"/>
                        </w:rPr>
                        <w:t>–</w:t>
                      </w:r>
                      <w:r w:rsidRPr="00FD2E70">
                        <w:rPr>
                          <w:sz w:val="18"/>
                          <w:szCs w:val="18"/>
                          <w:vertAlign w:val="subscript"/>
                        </w:rPr>
                        <w:t>1SD</w:t>
                      </w:r>
                      <w:r w:rsidRPr="00FD2E70">
                        <w:rPr>
                          <w:sz w:val="18"/>
                          <w:szCs w:val="18"/>
                        </w:rPr>
                        <w:t>)</w:t>
                      </w:r>
                      <w:r>
                        <w:rPr>
                          <w:sz w:val="18"/>
                          <w:szCs w:val="18"/>
                        </w:rPr>
                        <w:t>, the</w:t>
                      </w:r>
                      <w:r w:rsidRPr="00FD2E70">
                        <w:rPr>
                          <w:sz w:val="18"/>
                          <w:szCs w:val="18"/>
                        </w:rPr>
                        <w:t xml:space="preserve"> mean (β</w:t>
                      </w:r>
                      <w:r w:rsidRPr="00FD2E70">
                        <w:rPr>
                          <w:sz w:val="18"/>
                          <w:szCs w:val="18"/>
                          <w:vertAlign w:val="subscript"/>
                        </w:rPr>
                        <w:t>Mean</w:t>
                      </w:r>
                      <w:r w:rsidRPr="00FD2E70">
                        <w:rPr>
                          <w:sz w:val="18"/>
                          <w:szCs w:val="18"/>
                        </w:rPr>
                        <w:t>)</w:t>
                      </w:r>
                      <w:r>
                        <w:rPr>
                          <w:sz w:val="18"/>
                          <w:szCs w:val="18"/>
                        </w:rPr>
                        <w:t>,</w:t>
                      </w:r>
                      <w:r w:rsidRPr="00FD2E70">
                        <w:rPr>
                          <w:sz w:val="18"/>
                          <w:szCs w:val="18"/>
                        </w:rPr>
                        <w:t xml:space="preserve"> +1 SD (β</w:t>
                      </w:r>
                      <w:r>
                        <w:rPr>
                          <w:sz w:val="18"/>
                          <w:szCs w:val="18"/>
                          <w:vertAlign w:val="subscript"/>
                        </w:rPr>
                        <w:t>+</w:t>
                      </w:r>
                      <w:r w:rsidRPr="00FD2E70">
                        <w:rPr>
                          <w:sz w:val="18"/>
                          <w:szCs w:val="18"/>
                          <w:vertAlign w:val="subscript"/>
                        </w:rPr>
                        <w:t>1SD</w:t>
                      </w:r>
                      <w:r w:rsidRPr="00FD2E70">
                        <w:rPr>
                          <w:sz w:val="18"/>
                          <w:szCs w:val="18"/>
                        </w:rPr>
                        <w:t>)</w:t>
                      </w:r>
                      <w:r>
                        <w:rPr>
                          <w:sz w:val="18"/>
                          <w:szCs w:val="18"/>
                        </w:rPr>
                        <w:t>,</w:t>
                      </w:r>
                      <w:r w:rsidRPr="00FD2E70">
                        <w:rPr>
                          <w:sz w:val="18"/>
                          <w:szCs w:val="18"/>
                        </w:rPr>
                        <w:t xml:space="preserve"> and </w:t>
                      </w:r>
                      <w:r>
                        <w:rPr>
                          <w:sz w:val="18"/>
                          <w:szCs w:val="18"/>
                        </w:rPr>
                        <w:t xml:space="preserve">the maximum </w:t>
                      </w:r>
                      <w:r w:rsidRPr="00FD2E70">
                        <w:rPr>
                          <w:sz w:val="18"/>
                          <w:szCs w:val="18"/>
                        </w:rPr>
                        <w:t>(β</w:t>
                      </w:r>
                      <w:r w:rsidRPr="00FD2E70">
                        <w:rPr>
                          <w:sz w:val="18"/>
                          <w:szCs w:val="18"/>
                          <w:vertAlign w:val="subscript"/>
                        </w:rPr>
                        <w:t>Max</w:t>
                      </w:r>
                      <w:r w:rsidRPr="00FD2E70">
                        <w:rPr>
                          <w:sz w:val="18"/>
                          <w:szCs w:val="18"/>
                        </w:rPr>
                        <w:t xml:space="preserve">) </w:t>
                      </w:r>
                      <w:r>
                        <w:rPr>
                          <w:sz w:val="18"/>
                          <w:szCs w:val="18"/>
                        </w:rPr>
                        <w:t>values</w:t>
                      </w:r>
                      <w:r w:rsidRPr="00FD2E70">
                        <w:rPr>
                          <w:sz w:val="18"/>
                          <w:szCs w:val="18"/>
                        </w:rPr>
                        <w:t xml:space="preserve"> of reseller </w:t>
                      </w:r>
                      <w:r>
                        <w:rPr>
                          <w:sz w:val="18"/>
                          <w:szCs w:val="18"/>
                        </w:rPr>
                        <w:t>selection</w:t>
                      </w:r>
                      <w:r w:rsidRPr="00FD2E70">
                        <w:rPr>
                          <w:sz w:val="18"/>
                          <w:szCs w:val="18"/>
                        </w:rPr>
                        <w:t xml:space="preserve"> </w:t>
                      </w:r>
                      <w:r>
                        <w:rPr>
                          <w:sz w:val="18"/>
                          <w:szCs w:val="18"/>
                        </w:rPr>
                        <w:t xml:space="preserve">efforts </w:t>
                      </w:r>
                      <w:r w:rsidRPr="00FD2E70">
                        <w:rPr>
                          <w:sz w:val="18"/>
                          <w:szCs w:val="18"/>
                        </w:rPr>
                        <w:t>(</w:t>
                      </w:r>
                      <w:r>
                        <w:rPr>
                          <w:sz w:val="18"/>
                          <w:szCs w:val="18"/>
                        </w:rPr>
                        <w:t>SSEL</w:t>
                      </w:r>
                      <w:r w:rsidRPr="00FD2E70">
                        <w:rPr>
                          <w:sz w:val="18"/>
                          <w:szCs w:val="18"/>
                        </w:rPr>
                        <w:t>T1), which are, respectively</w:t>
                      </w:r>
                      <w:r>
                        <w:rPr>
                          <w:sz w:val="18"/>
                          <w:szCs w:val="18"/>
                        </w:rPr>
                        <w:t>,</w:t>
                      </w:r>
                      <w:r w:rsidRPr="00FD2E70">
                        <w:rPr>
                          <w:sz w:val="18"/>
                          <w:szCs w:val="18"/>
                        </w:rPr>
                        <w:t xml:space="preserve"> </w:t>
                      </w:r>
                      <w:r>
                        <w:rPr>
                          <w:sz w:val="18"/>
                          <w:szCs w:val="18"/>
                        </w:rPr>
                        <w:t>–</w:t>
                      </w:r>
                      <w:r w:rsidRPr="00FD2E70">
                        <w:rPr>
                          <w:sz w:val="18"/>
                          <w:szCs w:val="18"/>
                        </w:rPr>
                        <w:t xml:space="preserve">5.57, </w:t>
                      </w:r>
                      <w:r>
                        <w:rPr>
                          <w:sz w:val="18"/>
                          <w:szCs w:val="18"/>
                        </w:rPr>
                        <w:t>–</w:t>
                      </w:r>
                      <w:r w:rsidRPr="00FD2E70">
                        <w:rPr>
                          <w:sz w:val="18"/>
                          <w:szCs w:val="18"/>
                        </w:rPr>
                        <w:t>2.78,</w:t>
                      </w:r>
                      <w:r>
                        <w:rPr>
                          <w:sz w:val="18"/>
                          <w:szCs w:val="18"/>
                        </w:rPr>
                        <w:t xml:space="preserve"> </w:t>
                      </w:r>
                      <w:r w:rsidRPr="00FD2E70">
                        <w:rPr>
                          <w:sz w:val="18"/>
                          <w:szCs w:val="18"/>
                        </w:rPr>
                        <w:t xml:space="preserve">0, 2.78, and 5.48. All </w:t>
                      </w:r>
                      <w:r>
                        <w:rPr>
                          <w:sz w:val="18"/>
                          <w:szCs w:val="18"/>
                        </w:rPr>
                        <w:t>interacted</w:t>
                      </w:r>
                      <w:r w:rsidRPr="00FD2E70">
                        <w:rPr>
                          <w:sz w:val="18"/>
                          <w:szCs w:val="18"/>
                        </w:rPr>
                        <w:t xml:space="preserve"> variables are mean centered. </w:t>
                      </w:r>
                    </w:p>
                  </w:txbxContent>
                </v:textbox>
              </v:rect>
            </w:pict>
          </mc:Fallback>
        </mc:AlternateContent>
      </w:r>
    </w:p>
    <w:p w14:paraId="1387E65A" w14:textId="77777777" w:rsidR="00C14809" w:rsidRPr="00605672" w:rsidRDefault="00C14809" w:rsidP="0000050F">
      <w:pPr>
        <w:ind w:left="567" w:hanging="1017"/>
        <w:jc w:val="center"/>
        <w:rPr>
          <w:b/>
          <w:sz w:val="18"/>
          <w:szCs w:val="18"/>
        </w:rPr>
      </w:pPr>
    </w:p>
    <w:p w14:paraId="5F9CB8C6" w14:textId="77777777" w:rsidR="00BA3A66" w:rsidRPr="00605672" w:rsidRDefault="005D08EB" w:rsidP="0000050F">
      <w:pPr>
        <w:jc w:val="center"/>
        <w:rPr>
          <w:b/>
        </w:rPr>
      </w:pPr>
      <w:r w:rsidRPr="00605672">
        <w:rPr>
          <w:b/>
        </w:rPr>
        <w:t>F</w:t>
      </w:r>
      <w:r w:rsidR="00BA3A66" w:rsidRPr="00605672">
        <w:rPr>
          <w:b/>
        </w:rPr>
        <w:t>igure 2 (Cont</w:t>
      </w:r>
      <w:r w:rsidR="0000050F" w:rsidRPr="00605672">
        <w:rPr>
          <w:b/>
        </w:rPr>
        <w:t>inued</w:t>
      </w:r>
      <w:r w:rsidR="00BA3A66" w:rsidRPr="00605672">
        <w:rPr>
          <w:b/>
        </w:rPr>
        <w:t>)</w:t>
      </w:r>
    </w:p>
    <w:p w14:paraId="1A6978F8" w14:textId="77777777" w:rsidR="009C5E35" w:rsidRPr="00605672" w:rsidRDefault="009C5E35">
      <w:pPr>
        <w:ind w:left="567" w:hanging="1017"/>
        <w:jc w:val="center"/>
        <w:rPr>
          <w:b/>
          <w:sz w:val="18"/>
          <w:szCs w:val="18"/>
        </w:rPr>
      </w:pPr>
    </w:p>
    <w:p w14:paraId="099CC3DD" w14:textId="29376BC3" w:rsidR="00E17A7C" w:rsidRPr="00605672" w:rsidRDefault="00D90DFD">
      <w:pPr>
        <w:ind w:left="567" w:hanging="1017"/>
        <w:jc w:val="center"/>
        <w:rPr>
          <w:b/>
          <w:bCs/>
          <w:sz w:val="18"/>
          <w:szCs w:val="18"/>
        </w:rPr>
      </w:pPr>
      <w:r>
        <w:rPr>
          <w:b/>
          <w:noProof/>
          <w:sz w:val="18"/>
          <w:szCs w:val="18"/>
          <w:lang w:val="nb-NO" w:eastAsia="nb-NO"/>
        </w:rPr>
        <w:lastRenderedPageBreak/>
        <mc:AlternateContent>
          <mc:Choice Requires="wps">
            <w:drawing>
              <wp:anchor distT="4294967294" distB="4294967294" distL="114300" distR="114300" simplePos="0" relativeHeight="251665920" behindDoc="0" locked="0" layoutInCell="1" allowOverlap="1" wp14:anchorId="0E6B65E8" wp14:editId="4B49772C">
                <wp:simplePos x="0" y="0"/>
                <wp:positionH relativeFrom="column">
                  <wp:posOffset>-275590</wp:posOffset>
                </wp:positionH>
                <wp:positionV relativeFrom="paragraph">
                  <wp:posOffset>461644</wp:posOffset>
                </wp:positionV>
                <wp:extent cx="6033770" cy="0"/>
                <wp:effectExtent l="0" t="0" r="5080" b="0"/>
                <wp:wrapNone/>
                <wp:docPr id="1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377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6242FA7" id="Line 94"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7pt,36.35pt" to="453.4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">
                <o:lock v:ext="edit" shapetype="f"/>
              </v:line>
            </w:pict>
          </mc:Fallback>
        </mc:AlternateContent>
      </w:r>
      <w:r w:rsidR="00091D8C" w:rsidRPr="00605672">
        <w:rPr>
          <w:b/>
          <w:sz w:val="18"/>
          <w:szCs w:val="18"/>
        </w:rPr>
        <w:t>B</w:t>
      </w:r>
      <w:r w:rsidR="00450B4F" w:rsidRPr="00605672">
        <w:rPr>
          <w:b/>
          <w:sz w:val="18"/>
          <w:szCs w:val="18"/>
        </w:rPr>
        <w:t>1</w:t>
      </w:r>
      <w:r w:rsidR="00FC679E">
        <w:rPr>
          <w:b/>
          <w:sz w:val="18"/>
          <w:szCs w:val="18"/>
        </w:rPr>
        <w:t>.</w:t>
      </w:r>
      <w:r w:rsidR="00FC679E" w:rsidRPr="00605672" w:rsidDel="00FC679E">
        <w:rPr>
          <w:b/>
          <w:sz w:val="18"/>
          <w:szCs w:val="18"/>
        </w:rPr>
        <w:t xml:space="preserve"> </w:t>
      </w:r>
      <w:r w:rsidR="00091D8C" w:rsidRPr="00605672">
        <w:rPr>
          <w:b/>
          <w:sz w:val="18"/>
          <w:szCs w:val="18"/>
        </w:rPr>
        <w:t xml:space="preserve">Surface Plot for </w:t>
      </w:r>
      <w:r w:rsidR="00AB27C3" w:rsidRPr="00605672">
        <w:rPr>
          <w:b/>
          <w:sz w:val="18"/>
          <w:szCs w:val="18"/>
        </w:rPr>
        <w:t xml:space="preserve">the </w:t>
      </w:r>
      <w:r w:rsidR="00091D8C" w:rsidRPr="00605672">
        <w:rPr>
          <w:b/>
          <w:sz w:val="18"/>
          <w:szCs w:val="18"/>
        </w:rPr>
        <w:t>T</w:t>
      </w:r>
      <w:r w:rsidR="00091D8C" w:rsidRPr="00605672">
        <w:rPr>
          <w:b/>
          <w:bCs/>
          <w:sz w:val="18"/>
          <w:szCs w:val="18"/>
        </w:rPr>
        <w:t>hree-Way Effect of Incremental Supplier Investments (</w:t>
      </w:r>
      <w:r w:rsidR="00C01960" w:rsidRPr="00605672">
        <w:rPr>
          <w:b/>
          <w:bCs/>
          <w:sz w:val="18"/>
          <w:szCs w:val="18"/>
        </w:rPr>
        <w:t>SINVT2</w:t>
      </w:r>
      <w:r w:rsidR="00091D8C" w:rsidRPr="00605672">
        <w:rPr>
          <w:b/>
          <w:bCs/>
          <w:sz w:val="18"/>
          <w:szCs w:val="18"/>
        </w:rPr>
        <w:t xml:space="preserve">), </w:t>
      </w:r>
      <w:r w:rsidR="00FD23C2" w:rsidRPr="00605672">
        <w:rPr>
          <w:b/>
          <w:bCs/>
          <w:sz w:val="18"/>
          <w:szCs w:val="18"/>
        </w:rPr>
        <w:t>Mutual Asymmetric Investments</w:t>
      </w:r>
      <w:r w:rsidR="006E2E48" w:rsidRPr="00605672">
        <w:rPr>
          <w:b/>
          <w:bCs/>
          <w:sz w:val="18"/>
          <w:szCs w:val="18"/>
        </w:rPr>
        <w:t xml:space="preserve"> </w:t>
      </w:r>
      <w:r w:rsidR="00332FED" w:rsidRPr="00605672">
        <w:rPr>
          <w:b/>
          <w:sz w:val="18"/>
          <w:szCs w:val="18"/>
        </w:rPr>
        <w:t>in the Supplier’s Favor</w:t>
      </w:r>
      <w:r w:rsidR="00332FED" w:rsidRPr="00605672" w:rsidDel="00FD23C2">
        <w:rPr>
          <w:b/>
          <w:sz w:val="18"/>
          <w:szCs w:val="18"/>
        </w:rPr>
        <w:t xml:space="preserve"> </w:t>
      </w:r>
      <w:r w:rsidR="006E2E48" w:rsidRPr="00605672">
        <w:rPr>
          <w:b/>
          <w:bCs/>
          <w:sz w:val="18"/>
          <w:szCs w:val="18"/>
        </w:rPr>
        <w:t>(</w:t>
      </w:r>
      <w:r w:rsidR="00091D8C" w:rsidRPr="00605672">
        <w:rPr>
          <w:b/>
          <w:bCs/>
          <w:sz w:val="18"/>
          <w:szCs w:val="18"/>
        </w:rPr>
        <w:t>INVDIFF)</w:t>
      </w:r>
      <w:r w:rsidR="00FC679E">
        <w:rPr>
          <w:b/>
          <w:bCs/>
          <w:sz w:val="18"/>
          <w:szCs w:val="18"/>
        </w:rPr>
        <w:t>,</w:t>
      </w:r>
      <w:r w:rsidR="00091D8C" w:rsidRPr="00605672">
        <w:rPr>
          <w:b/>
          <w:bCs/>
          <w:sz w:val="18"/>
          <w:szCs w:val="18"/>
        </w:rPr>
        <w:t xml:space="preserve"> and </w:t>
      </w:r>
      <w:r w:rsidR="008D5BB5" w:rsidRPr="00605672">
        <w:rPr>
          <w:b/>
          <w:bCs/>
          <w:sz w:val="18"/>
          <w:szCs w:val="18"/>
        </w:rPr>
        <w:t xml:space="preserve">Initial </w:t>
      </w:r>
      <w:r w:rsidR="00091D8C" w:rsidRPr="00605672">
        <w:rPr>
          <w:b/>
          <w:bCs/>
          <w:sz w:val="18"/>
          <w:szCs w:val="18"/>
        </w:rPr>
        <w:t xml:space="preserve">Reseller </w:t>
      </w:r>
      <w:r w:rsidR="0089722F" w:rsidRPr="00605672">
        <w:rPr>
          <w:b/>
          <w:bCs/>
          <w:sz w:val="18"/>
          <w:szCs w:val="18"/>
        </w:rPr>
        <w:t>Selection</w:t>
      </w:r>
      <w:r w:rsidR="00091D8C" w:rsidRPr="00605672">
        <w:rPr>
          <w:b/>
          <w:bCs/>
          <w:sz w:val="18"/>
          <w:szCs w:val="18"/>
        </w:rPr>
        <w:t xml:space="preserve"> </w:t>
      </w:r>
      <w:r w:rsidR="00B97DF0" w:rsidRPr="00605672">
        <w:rPr>
          <w:b/>
          <w:bCs/>
          <w:sz w:val="18"/>
          <w:szCs w:val="18"/>
        </w:rPr>
        <w:t xml:space="preserve">Efforts </w:t>
      </w:r>
      <w:r w:rsidR="00091D8C" w:rsidRPr="00605672">
        <w:rPr>
          <w:b/>
          <w:bCs/>
          <w:sz w:val="18"/>
          <w:szCs w:val="18"/>
        </w:rPr>
        <w:t>(</w:t>
      </w:r>
      <w:r w:rsidR="003B7993" w:rsidRPr="00605672">
        <w:rPr>
          <w:b/>
          <w:bCs/>
          <w:sz w:val="18"/>
          <w:szCs w:val="18"/>
        </w:rPr>
        <w:t>SSEL</w:t>
      </w:r>
      <w:r w:rsidR="00091D8C" w:rsidRPr="00605672">
        <w:rPr>
          <w:b/>
          <w:bCs/>
          <w:sz w:val="18"/>
          <w:szCs w:val="18"/>
        </w:rPr>
        <w:t xml:space="preserve">T1) on </w:t>
      </w:r>
      <w:r w:rsidR="00AA5B5D" w:rsidRPr="00727D37">
        <w:rPr>
          <w:b/>
          <w:bCs/>
          <w:iCs/>
          <w:sz w:val="18"/>
          <w:szCs w:val="18"/>
        </w:rPr>
        <w:t xml:space="preserve">Ex Post </w:t>
      </w:r>
      <w:r w:rsidR="00091D8C" w:rsidRPr="00605672">
        <w:rPr>
          <w:b/>
          <w:bCs/>
          <w:sz w:val="18"/>
          <w:szCs w:val="18"/>
        </w:rPr>
        <w:t>Transaction Costs</w:t>
      </w:r>
      <w:r w:rsidR="00756B07" w:rsidRPr="00605672">
        <w:rPr>
          <w:b/>
          <w:bCs/>
          <w:sz w:val="18"/>
          <w:szCs w:val="18"/>
        </w:rPr>
        <w:t xml:space="preserve"> </w:t>
      </w:r>
      <w:r w:rsidR="00756B07" w:rsidRPr="00605672">
        <w:rPr>
          <w:b/>
          <w:sz w:val="18"/>
          <w:szCs w:val="18"/>
        </w:rPr>
        <w:t>(STCT2)</w:t>
      </w:r>
      <w:r w:rsidR="00FC679E">
        <w:rPr>
          <w:b/>
          <w:sz w:val="18"/>
          <w:szCs w:val="18"/>
        </w:rPr>
        <w:t xml:space="preserve"> (H</w:t>
      </w:r>
      <w:r w:rsidR="00FC679E">
        <w:rPr>
          <w:b/>
          <w:sz w:val="18"/>
          <w:szCs w:val="18"/>
          <w:vertAlign w:val="subscript"/>
        </w:rPr>
        <w:t>4</w:t>
      </w:r>
      <w:r w:rsidR="00FC679E">
        <w:rPr>
          <w:b/>
          <w:sz w:val="18"/>
          <w:szCs w:val="18"/>
        </w:rPr>
        <w:t>)</w:t>
      </w:r>
    </w:p>
    <w:p w14:paraId="5E12B20D" w14:textId="77777777" w:rsidR="00BA3A66" w:rsidRPr="00605672" w:rsidRDefault="002A7D7B" w:rsidP="00E75A30">
      <w:pPr>
        <w:ind w:left="567" w:hanging="1017"/>
        <w:rPr>
          <w:b/>
          <w:sz w:val="18"/>
          <w:szCs w:val="18"/>
        </w:rPr>
      </w:pPr>
      <w:r w:rsidRPr="00605672">
        <w:rPr>
          <w:b/>
          <w:noProof/>
          <w:sz w:val="18"/>
          <w:szCs w:val="18"/>
          <w:lang w:val="nb-NO" w:eastAsia="nb-NO"/>
        </w:rPr>
        <w:drawing>
          <wp:inline distT="0" distB="0" distL="0" distR="0" wp14:anchorId="493120E4" wp14:editId="7CC799B9">
            <wp:extent cx="6154016" cy="4006734"/>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E45827B" w14:textId="4C1A03F9" w:rsidR="00BA3A66" w:rsidRPr="00605672" w:rsidRDefault="00D90DFD" w:rsidP="00A71D0F">
      <w:pPr>
        <w:ind w:left="567" w:hanging="1017"/>
        <w:rPr>
          <w:b/>
          <w:sz w:val="18"/>
          <w:szCs w:val="18"/>
        </w:rPr>
      </w:pPr>
      <w:r>
        <w:rPr>
          <w:b/>
          <w:noProof/>
          <w:sz w:val="18"/>
          <w:szCs w:val="18"/>
          <w:lang w:val="nb-NO" w:eastAsia="nb-NO"/>
        </w:rPr>
        <mc:AlternateContent>
          <mc:Choice Requires="wps">
            <w:drawing>
              <wp:anchor distT="0" distB="0" distL="114300" distR="114300" simplePos="0" relativeHeight="251666944" behindDoc="0" locked="0" layoutInCell="1" allowOverlap="1" wp14:anchorId="106158AE" wp14:editId="1EC02361">
                <wp:simplePos x="0" y="0"/>
                <wp:positionH relativeFrom="column">
                  <wp:posOffset>-389890</wp:posOffset>
                </wp:positionH>
                <wp:positionV relativeFrom="paragraph">
                  <wp:posOffset>128270</wp:posOffset>
                </wp:positionV>
                <wp:extent cx="6148070" cy="588645"/>
                <wp:effectExtent l="0" t="0" r="0" b="0"/>
                <wp:wrapNone/>
                <wp:docPr id="1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8070" cy="588645"/>
                        </a:xfrm>
                        <a:prstGeom prst="rect">
                          <a:avLst/>
                        </a:prstGeom>
                        <a:solidFill>
                          <a:srgbClr val="FFFFFF"/>
                        </a:solidFill>
                        <a:ln>
                          <a:noFill/>
                        </a:ln>
                        <a:extLst>
                          <a:ext uri="{91240B29-F687-4f45-9708-019B960494DF}"/>
                        </a:extLst>
                      </wps:spPr>
                      <wps:txbx>
                        <w:txbxContent>
                          <w:p w14:paraId="532D2B4F" w14:textId="58964B0D" w:rsidR="004A1B6C" w:rsidRPr="00E17A7C" w:rsidRDefault="004A1B6C">
                            <w:pPr>
                              <w:rPr>
                                <w:sz w:val="18"/>
                                <w:szCs w:val="18"/>
                              </w:rPr>
                            </w:pPr>
                            <w:r w:rsidRPr="00727D37">
                              <w:rPr>
                                <w:sz w:val="18"/>
                                <w:szCs w:val="18"/>
                              </w:rPr>
                              <w:t>Notes</w:t>
                            </w:r>
                            <w:r>
                              <w:rPr>
                                <w:sz w:val="18"/>
                                <w:szCs w:val="18"/>
                              </w:rPr>
                              <w:t>: The ve</w:t>
                            </w:r>
                            <w:r w:rsidRPr="005D7CD7">
                              <w:rPr>
                                <w:sz w:val="18"/>
                                <w:szCs w:val="18"/>
                              </w:rPr>
                              <w:t>rtical (Y) axis represents the slope of supplier incremental investments on supplier transaction costs</w:t>
                            </w:r>
                            <w:r>
                              <w:rPr>
                                <w:sz w:val="18"/>
                                <w:szCs w:val="18"/>
                              </w:rPr>
                              <w:t>;</w:t>
                            </w:r>
                            <w:r w:rsidRPr="005D7CD7">
                              <w:rPr>
                                <w:sz w:val="18"/>
                                <w:szCs w:val="18"/>
                              </w:rPr>
                              <w:t xml:space="preserve"> depth (Z) axis represents </w:t>
                            </w:r>
                            <w:r>
                              <w:rPr>
                                <w:sz w:val="18"/>
                                <w:szCs w:val="18"/>
                              </w:rPr>
                              <w:t>mutual asymmetric investments in the supplier’s f</w:t>
                            </w:r>
                            <w:r w:rsidRPr="00BA6731">
                              <w:rPr>
                                <w:sz w:val="18"/>
                                <w:szCs w:val="18"/>
                              </w:rPr>
                              <w:t>avor</w:t>
                            </w:r>
                            <w:r>
                              <w:rPr>
                                <w:sz w:val="18"/>
                                <w:szCs w:val="18"/>
                              </w:rPr>
                              <w:t>;</w:t>
                            </w:r>
                            <w:r w:rsidRPr="00F63D0F">
                              <w:rPr>
                                <w:sz w:val="18"/>
                                <w:szCs w:val="18"/>
                              </w:rPr>
                              <w:t xml:space="preserve"> </w:t>
                            </w:r>
                            <w:r>
                              <w:rPr>
                                <w:sz w:val="18"/>
                                <w:szCs w:val="18"/>
                              </w:rPr>
                              <w:t xml:space="preserve">horizontal </w:t>
                            </w:r>
                            <w:r w:rsidRPr="00F63D0F">
                              <w:rPr>
                                <w:sz w:val="18"/>
                                <w:szCs w:val="18"/>
                              </w:rPr>
                              <w:t xml:space="preserve">(X) axis represents </w:t>
                            </w:r>
                            <w:r>
                              <w:rPr>
                                <w:sz w:val="18"/>
                                <w:szCs w:val="18"/>
                              </w:rPr>
                              <w:t xml:space="preserve">initial </w:t>
                            </w:r>
                            <w:r w:rsidRPr="00F63D0F">
                              <w:rPr>
                                <w:sz w:val="18"/>
                                <w:szCs w:val="18"/>
                              </w:rPr>
                              <w:t xml:space="preserve">reseller </w:t>
                            </w:r>
                            <w:r>
                              <w:rPr>
                                <w:sz w:val="18"/>
                                <w:szCs w:val="18"/>
                              </w:rPr>
                              <w:t>selection efforts</w:t>
                            </w:r>
                            <w:r w:rsidRPr="00F63D0F">
                              <w:rPr>
                                <w:sz w:val="18"/>
                                <w:szCs w:val="18"/>
                              </w:rPr>
                              <w:t xml:space="preserve">. Colored boxes </w:t>
                            </w:r>
                            <w:r>
                              <w:rPr>
                                <w:sz w:val="18"/>
                                <w:szCs w:val="18"/>
                              </w:rPr>
                              <w:t>indicate</w:t>
                            </w:r>
                            <w:r w:rsidRPr="00F63D0F">
                              <w:rPr>
                                <w:sz w:val="18"/>
                                <w:szCs w:val="18"/>
                              </w:rPr>
                              <w:t xml:space="preserve"> different transaction costs. All focal dependent and independent va</w:t>
                            </w:r>
                            <w:r w:rsidRPr="00811704">
                              <w:rPr>
                                <w:sz w:val="18"/>
                                <w:szCs w:val="18"/>
                              </w:rPr>
                              <w:t>riables are mean centered. Some values for transaction costs are neg</w:t>
                            </w:r>
                            <w:r>
                              <w:rPr>
                                <w:sz w:val="18"/>
                                <w:szCs w:val="18"/>
                              </w:rPr>
                              <w:t xml:space="preserve">ative due to mean centering.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158AE" id="Rectangle 175" o:spid="_x0000_s1038" style="position:absolute;left:0;text-align:left;margin-left:-30.7pt;margin-top:10.1pt;width:484.1pt;height:46.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" stroked="f">
                <v:path arrowok="t"/>
                <v:textbox inset="0,0,0,0">
                  <w:txbxContent>
                    <w:p w14:paraId="532D2B4F" w14:textId="58964B0D" w:rsidR="004A1B6C" w:rsidRPr="00E17A7C" w:rsidRDefault="004A1B6C">
                      <w:pPr>
                        <w:rPr>
                          <w:sz w:val="18"/>
                          <w:szCs w:val="18"/>
                        </w:rPr>
                      </w:pPr>
                      <w:r w:rsidRPr="00727D37">
                        <w:rPr>
                          <w:sz w:val="18"/>
                          <w:szCs w:val="18"/>
                        </w:rPr>
                        <w:t>Notes</w:t>
                      </w:r>
                      <w:r>
                        <w:rPr>
                          <w:sz w:val="18"/>
                          <w:szCs w:val="18"/>
                        </w:rPr>
                        <w:t>: The ve</w:t>
                      </w:r>
                      <w:r w:rsidRPr="005D7CD7">
                        <w:rPr>
                          <w:sz w:val="18"/>
                          <w:szCs w:val="18"/>
                        </w:rPr>
                        <w:t>rtical (Y) axis represents the slope of supplier incremental investments on supplier transaction costs</w:t>
                      </w:r>
                      <w:r>
                        <w:rPr>
                          <w:sz w:val="18"/>
                          <w:szCs w:val="18"/>
                        </w:rPr>
                        <w:t>;</w:t>
                      </w:r>
                      <w:r w:rsidRPr="005D7CD7">
                        <w:rPr>
                          <w:sz w:val="18"/>
                          <w:szCs w:val="18"/>
                        </w:rPr>
                        <w:t xml:space="preserve"> depth (Z) axis represents </w:t>
                      </w:r>
                      <w:r>
                        <w:rPr>
                          <w:sz w:val="18"/>
                          <w:szCs w:val="18"/>
                        </w:rPr>
                        <w:t>mutual asymmetric investments in the supplier’s f</w:t>
                      </w:r>
                      <w:r w:rsidRPr="00BA6731">
                        <w:rPr>
                          <w:sz w:val="18"/>
                          <w:szCs w:val="18"/>
                        </w:rPr>
                        <w:t>avor</w:t>
                      </w:r>
                      <w:r>
                        <w:rPr>
                          <w:sz w:val="18"/>
                          <w:szCs w:val="18"/>
                        </w:rPr>
                        <w:t>;</w:t>
                      </w:r>
                      <w:r w:rsidRPr="00F63D0F">
                        <w:rPr>
                          <w:sz w:val="18"/>
                          <w:szCs w:val="18"/>
                        </w:rPr>
                        <w:t xml:space="preserve"> </w:t>
                      </w:r>
                      <w:r>
                        <w:rPr>
                          <w:sz w:val="18"/>
                          <w:szCs w:val="18"/>
                        </w:rPr>
                        <w:t xml:space="preserve">horizontal </w:t>
                      </w:r>
                      <w:r w:rsidRPr="00F63D0F">
                        <w:rPr>
                          <w:sz w:val="18"/>
                          <w:szCs w:val="18"/>
                        </w:rPr>
                        <w:t xml:space="preserve">(X) axis represents </w:t>
                      </w:r>
                      <w:r>
                        <w:rPr>
                          <w:sz w:val="18"/>
                          <w:szCs w:val="18"/>
                        </w:rPr>
                        <w:t xml:space="preserve">initial </w:t>
                      </w:r>
                      <w:r w:rsidRPr="00F63D0F">
                        <w:rPr>
                          <w:sz w:val="18"/>
                          <w:szCs w:val="18"/>
                        </w:rPr>
                        <w:t xml:space="preserve">reseller </w:t>
                      </w:r>
                      <w:r>
                        <w:rPr>
                          <w:sz w:val="18"/>
                          <w:szCs w:val="18"/>
                        </w:rPr>
                        <w:t>selection efforts</w:t>
                      </w:r>
                      <w:r w:rsidRPr="00F63D0F">
                        <w:rPr>
                          <w:sz w:val="18"/>
                          <w:szCs w:val="18"/>
                        </w:rPr>
                        <w:t xml:space="preserve">. Colored boxes </w:t>
                      </w:r>
                      <w:r>
                        <w:rPr>
                          <w:sz w:val="18"/>
                          <w:szCs w:val="18"/>
                        </w:rPr>
                        <w:t>indicate</w:t>
                      </w:r>
                      <w:r w:rsidRPr="00F63D0F">
                        <w:rPr>
                          <w:sz w:val="18"/>
                          <w:szCs w:val="18"/>
                        </w:rPr>
                        <w:t xml:space="preserve"> different transaction costs. All focal dependent and independent va</w:t>
                      </w:r>
                      <w:r w:rsidRPr="00811704">
                        <w:rPr>
                          <w:sz w:val="18"/>
                          <w:szCs w:val="18"/>
                        </w:rPr>
                        <w:t>riables are mean centered. Some values for transaction costs are neg</w:t>
                      </w:r>
                      <w:r>
                        <w:rPr>
                          <w:sz w:val="18"/>
                          <w:szCs w:val="18"/>
                        </w:rPr>
                        <w:t xml:space="preserve">ative due to mean centering. </w:t>
                      </w:r>
                    </w:p>
                  </w:txbxContent>
                </v:textbox>
              </v:rect>
            </w:pict>
          </mc:Fallback>
        </mc:AlternateContent>
      </w:r>
    </w:p>
    <w:p w14:paraId="1BAB4F6D" w14:textId="77777777" w:rsidR="00BA3A66" w:rsidRPr="00605672" w:rsidRDefault="00BA3A66" w:rsidP="00A71D0F">
      <w:pPr>
        <w:ind w:left="567" w:hanging="1017"/>
        <w:rPr>
          <w:b/>
          <w:sz w:val="18"/>
          <w:szCs w:val="18"/>
        </w:rPr>
      </w:pPr>
    </w:p>
    <w:p w14:paraId="1612B88E" w14:textId="77777777" w:rsidR="00BA3A66" w:rsidRPr="00605672" w:rsidRDefault="00BA3A66" w:rsidP="00A71D0F">
      <w:pPr>
        <w:ind w:left="567" w:hanging="1017"/>
        <w:rPr>
          <w:b/>
          <w:sz w:val="18"/>
          <w:szCs w:val="18"/>
        </w:rPr>
      </w:pPr>
    </w:p>
    <w:p w14:paraId="673EDCA7" w14:textId="77777777" w:rsidR="00BA3A66" w:rsidRPr="00605672" w:rsidRDefault="00BA3A66" w:rsidP="00A71D0F">
      <w:pPr>
        <w:ind w:left="567" w:hanging="1017"/>
        <w:rPr>
          <w:b/>
          <w:sz w:val="18"/>
          <w:szCs w:val="18"/>
        </w:rPr>
      </w:pPr>
    </w:p>
    <w:p w14:paraId="71A3CDEE" w14:textId="77777777" w:rsidR="00BA3A66" w:rsidRPr="00605672" w:rsidRDefault="00BA3A66" w:rsidP="00A71D0F">
      <w:pPr>
        <w:ind w:left="567" w:hanging="1017"/>
        <w:rPr>
          <w:b/>
          <w:sz w:val="18"/>
          <w:szCs w:val="18"/>
        </w:rPr>
      </w:pPr>
    </w:p>
    <w:p w14:paraId="34200671" w14:textId="77777777" w:rsidR="00BA3A66" w:rsidRPr="00605672" w:rsidRDefault="00BA3A66" w:rsidP="00A71D0F">
      <w:pPr>
        <w:ind w:left="567" w:hanging="1017"/>
        <w:rPr>
          <w:b/>
          <w:sz w:val="18"/>
          <w:szCs w:val="18"/>
        </w:rPr>
      </w:pPr>
    </w:p>
    <w:p w14:paraId="11BC6727" w14:textId="77777777" w:rsidR="00BA3A66" w:rsidRPr="00605672" w:rsidRDefault="00BA3A66" w:rsidP="00A71D0F">
      <w:pPr>
        <w:ind w:left="567" w:hanging="1017"/>
        <w:rPr>
          <w:b/>
          <w:sz w:val="18"/>
          <w:szCs w:val="18"/>
        </w:rPr>
      </w:pPr>
    </w:p>
    <w:p w14:paraId="03CDF12E" w14:textId="324DDE44" w:rsidR="004436B3" w:rsidRPr="00605672" w:rsidRDefault="003F0010" w:rsidP="002C505C">
      <w:pPr>
        <w:ind w:left="567" w:hanging="1017"/>
        <w:jc w:val="center"/>
        <w:rPr>
          <w:b/>
          <w:sz w:val="18"/>
          <w:szCs w:val="18"/>
        </w:rPr>
      </w:pPr>
      <w:r w:rsidRPr="00605672">
        <w:rPr>
          <w:b/>
          <w:sz w:val="18"/>
          <w:szCs w:val="18"/>
        </w:rPr>
        <w:t>B2</w:t>
      </w:r>
      <w:r w:rsidR="00FC679E">
        <w:rPr>
          <w:b/>
          <w:sz w:val="18"/>
          <w:szCs w:val="18"/>
        </w:rPr>
        <w:t xml:space="preserve">. </w:t>
      </w:r>
      <w:r w:rsidRPr="00605672">
        <w:rPr>
          <w:b/>
          <w:sz w:val="18"/>
          <w:szCs w:val="18"/>
        </w:rPr>
        <w:t>Slope of Incremental Supplier Investments (</w:t>
      </w:r>
      <w:r w:rsidR="00C01960" w:rsidRPr="00605672">
        <w:rPr>
          <w:b/>
          <w:sz w:val="18"/>
          <w:szCs w:val="18"/>
        </w:rPr>
        <w:t>SINVT2</w:t>
      </w:r>
      <w:r w:rsidRPr="00605672">
        <w:rPr>
          <w:b/>
          <w:sz w:val="18"/>
          <w:szCs w:val="18"/>
        </w:rPr>
        <w:t xml:space="preserve">) on </w:t>
      </w:r>
      <w:r w:rsidR="00AA5B5D" w:rsidRPr="00727D37">
        <w:rPr>
          <w:b/>
          <w:iCs/>
          <w:sz w:val="18"/>
          <w:szCs w:val="18"/>
        </w:rPr>
        <w:t>Ex Post</w:t>
      </w:r>
      <w:r w:rsidRPr="00605672">
        <w:rPr>
          <w:b/>
          <w:sz w:val="18"/>
          <w:szCs w:val="18"/>
        </w:rPr>
        <w:t xml:space="preserve"> Transaction Costs</w:t>
      </w:r>
      <w:r w:rsidR="00756B07" w:rsidRPr="00605672">
        <w:rPr>
          <w:b/>
          <w:sz w:val="18"/>
          <w:szCs w:val="18"/>
        </w:rPr>
        <w:t xml:space="preserve"> (STCT2)</w:t>
      </w:r>
      <w:r w:rsidRPr="00605672">
        <w:rPr>
          <w:b/>
          <w:sz w:val="18"/>
          <w:szCs w:val="18"/>
        </w:rPr>
        <w:t xml:space="preserve">, Over the Range of </w:t>
      </w:r>
      <w:r w:rsidR="006E2E48" w:rsidRPr="00605672">
        <w:rPr>
          <w:b/>
          <w:sz w:val="18"/>
          <w:szCs w:val="18"/>
        </w:rPr>
        <w:t xml:space="preserve">Mutual Asymmetric </w:t>
      </w:r>
      <w:r w:rsidR="00FD23C2" w:rsidRPr="00605672">
        <w:rPr>
          <w:b/>
          <w:sz w:val="18"/>
          <w:szCs w:val="18"/>
        </w:rPr>
        <w:t>Investments in the Supplier’s Favor</w:t>
      </w:r>
      <w:r w:rsidR="00FD23C2" w:rsidRPr="00605672" w:rsidDel="00FD23C2">
        <w:rPr>
          <w:b/>
          <w:sz w:val="18"/>
          <w:szCs w:val="18"/>
        </w:rPr>
        <w:t xml:space="preserve"> </w:t>
      </w:r>
      <w:r w:rsidRPr="00605672">
        <w:rPr>
          <w:b/>
          <w:sz w:val="18"/>
          <w:szCs w:val="18"/>
        </w:rPr>
        <w:t xml:space="preserve">(INVDIFF) at Different Levels of </w:t>
      </w:r>
      <w:r w:rsidR="00E17A7C" w:rsidRPr="00605672">
        <w:rPr>
          <w:b/>
          <w:sz w:val="18"/>
          <w:szCs w:val="18"/>
        </w:rPr>
        <w:t xml:space="preserve">Initial </w:t>
      </w:r>
      <w:r w:rsidRPr="00605672">
        <w:rPr>
          <w:b/>
          <w:sz w:val="18"/>
          <w:szCs w:val="18"/>
        </w:rPr>
        <w:t xml:space="preserve">Reseller </w:t>
      </w:r>
      <w:r w:rsidR="0089722F" w:rsidRPr="00605672">
        <w:rPr>
          <w:b/>
          <w:sz w:val="18"/>
          <w:szCs w:val="18"/>
        </w:rPr>
        <w:t>Selection</w:t>
      </w:r>
      <w:r w:rsidRPr="00605672">
        <w:rPr>
          <w:b/>
          <w:sz w:val="18"/>
          <w:szCs w:val="18"/>
        </w:rPr>
        <w:t xml:space="preserve"> </w:t>
      </w:r>
      <w:r w:rsidR="00B97DF0" w:rsidRPr="00605672">
        <w:rPr>
          <w:b/>
          <w:sz w:val="18"/>
          <w:szCs w:val="18"/>
        </w:rPr>
        <w:t xml:space="preserve">Efforts </w:t>
      </w:r>
      <w:r w:rsidRPr="00605672">
        <w:rPr>
          <w:b/>
          <w:sz w:val="18"/>
          <w:szCs w:val="18"/>
        </w:rPr>
        <w:t>(</w:t>
      </w:r>
      <w:r w:rsidR="003B7993" w:rsidRPr="00605672">
        <w:rPr>
          <w:b/>
          <w:sz w:val="18"/>
          <w:szCs w:val="18"/>
        </w:rPr>
        <w:t>SSEL</w:t>
      </w:r>
      <w:r w:rsidRPr="00605672">
        <w:rPr>
          <w:b/>
          <w:sz w:val="18"/>
          <w:szCs w:val="18"/>
        </w:rPr>
        <w:t>T1)</w:t>
      </w:r>
      <w:r w:rsidR="00FC679E">
        <w:rPr>
          <w:b/>
          <w:sz w:val="18"/>
          <w:szCs w:val="18"/>
        </w:rPr>
        <w:t xml:space="preserve"> (H</w:t>
      </w:r>
      <w:r w:rsidR="00FC679E">
        <w:rPr>
          <w:b/>
          <w:sz w:val="18"/>
          <w:szCs w:val="18"/>
          <w:vertAlign w:val="subscript"/>
        </w:rPr>
        <w:t>4</w:t>
      </w:r>
      <w:r w:rsidR="00FC679E">
        <w:rPr>
          <w:b/>
          <w:sz w:val="18"/>
          <w:szCs w:val="18"/>
        </w:rPr>
        <w:t>)</w:t>
      </w:r>
    </w:p>
    <w:p w14:paraId="0EAA130F" w14:textId="5DC10CDC" w:rsidR="00950911" w:rsidRPr="00605672" w:rsidRDefault="00D90DFD" w:rsidP="00A71D0F">
      <w:pPr>
        <w:ind w:left="567" w:hanging="1017"/>
        <w:rPr>
          <w:b/>
          <w:sz w:val="18"/>
          <w:szCs w:val="18"/>
        </w:rPr>
      </w:pPr>
      <w:r>
        <w:rPr>
          <w:b/>
          <w:noProof/>
          <w:sz w:val="18"/>
          <w:szCs w:val="18"/>
          <w:lang w:val="nb-NO" w:eastAsia="nb-NO"/>
        </w:rPr>
        <mc:AlternateContent>
          <mc:Choice Requires="wps">
            <w:drawing>
              <wp:anchor distT="4294967294" distB="4294967294" distL="114300" distR="114300" simplePos="0" relativeHeight="251668992" behindDoc="0" locked="0" layoutInCell="1" allowOverlap="1" wp14:anchorId="0193B21A" wp14:editId="1A8AE6B2">
                <wp:simplePos x="0" y="0"/>
                <wp:positionH relativeFrom="column">
                  <wp:posOffset>-533400</wp:posOffset>
                </wp:positionH>
                <wp:positionV relativeFrom="paragraph">
                  <wp:posOffset>30479</wp:posOffset>
                </wp:positionV>
                <wp:extent cx="6505575" cy="0"/>
                <wp:effectExtent l="0" t="0" r="9525"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05575"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4F70A84" id="Line 16"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pt,2.4pt" to="470.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">
                <o:lock v:ext="edit" shapetype="f"/>
              </v:line>
            </w:pict>
          </mc:Fallback>
        </mc:AlternateContent>
      </w:r>
    </w:p>
    <w:p w14:paraId="2DA9D368" w14:textId="77777777" w:rsidR="00E17A7C" w:rsidRPr="00605672" w:rsidRDefault="00E17A7C" w:rsidP="00A71D0F">
      <w:pPr>
        <w:ind w:left="567" w:hanging="1017"/>
        <w:rPr>
          <w:b/>
          <w:sz w:val="18"/>
          <w:szCs w:val="18"/>
        </w:rPr>
      </w:pPr>
      <w:r w:rsidRPr="00605672">
        <w:rPr>
          <w:b/>
          <w:noProof/>
          <w:sz w:val="18"/>
          <w:szCs w:val="18"/>
          <w:lang w:val="nb-NO" w:eastAsia="nb-NO"/>
        </w:rPr>
        <w:lastRenderedPageBreak/>
        <w:drawing>
          <wp:inline distT="0" distB="0" distL="0" distR="0" wp14:anchorId="1A244D57" wp14:editId="7DB7B76D">
            <wp:extent cx="6309360" cy="3915294"/>
            <wp:effectExtent l="0" t="0" r="0" b="22225"/>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201605" w14:textId="77777777" w:rsidR="00AA1461" w:rsidRPr="00605672" w:rsidRDefault="00AA1461" w:rsidP="00A71D0F">
      <w:pPr>
        <w:ind w:left="567" w:hanging="1017"/>
        <w:rPr>
          <w:b/>
          <w:sz w:val="18"/>
          <w:szCs w:val="18"/>
        </w:rPr>
      </w:pPr>
    </w:p>
    <w:p w14:paraId="54F9A478" w14:textId="6C5D6CF1" w:rsidR="00E17A7C" w:rsidRPr="00605672" w:rsidRDefault="00D90DFD" w:rsidP="00A71D0F">
      <w:pPr>
        <w:ind w:left="567" w:hanging="1017"/>
        <w:rPr>
          <w:b/>
          <w:sz w:val="18"/>
          <w:szCs w:val="18"/>
        </w:rPr>
      </w:pPr>
      <w:r>
        <w:rPr>
          <w:b/>
          <w:noProof/>
          <w:sz w:val="18"/>
          <w:szCs w:val="18"/>
          <w:lang w:val="nb-NO" w:eastAsia="nb-NO"/>
        </w:rPr>
        <mc:AlternateContent>
          <mc:Choice Requires="wps">
            <w:drawing>
              <wp:anchor distT="0" distB="0" distL="114300" distR="114300" simplePos="0" relativeHeight="251703808" behindDoc="0" locked="0" layoutInCell="1" allowOverlap="1" wp14:anchorId="0C04DE7A" wp14:editId="3BA96390">
                <wp:simplePos x="0" y="0"/>
                <wp:positionH relativeFrom="column">
                  <wp:posOffset>4629150</wp:posOffset>
                </wp:positionH>
                <wp:positionV relativeFrom="paragraph">
                  <wp:posOffset>112395</wp:posOffset>
                </wp:positionV>
                <wp:extent cx="704850" cy="131445"/>
                <wp:effectExtent l="0" t="0" r="0" b="0"/>
                <wp:wrapNone/>
                <wp:docPr id="1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0" cy="131445"/>
                        </a:xfrm>
                        <a:prstGeom prst="rect">
                          <a:avLst/>
                        </a:prstGeom>
                        <a:solidFill>
                          <a:srgbClr val="FFFFFF"/>
                        </a:solidFill>
                        <a:ln>
                          <a:noFill/>
                        </a:ln>
                        <a:extLst>
                          <a:ext uri="{91240B29-F687-4f45-9708-019B960494DF}"/>
                        </a:extLst>
                      </wps:spPr>
                      <wps:txbx>
                        <w:txbxContent>
                          <w:p w14:paraId="5C82CF5E" w14:textId="77777777" w:rsidR="004A1B6C" w:rsidRPr="0000706F" w:rsidRDefault="004A1B6C" w:rsidP="00E04B5D">
                            <w:pPr>
                              <w:rPr>
                                <w:sz w:val="18"/>
                                <w:szCs w:val="18"/>
                              </w:rPr>
                            </w:pPr>
                            <w:r>
                              <w:rPr>
                                <w:sz w:val="18"/>
                                <w:szCs w:val="18"/>
                              </w:rPr>
                              <w:t xml:space="preserve"> Max</w:t>
                            </w:r>
                            <w:r w:rsidRPr="0000706F">
                              <w:rPr>
                                <w:sz w:val="18"/>
                                <w:szCs w:val="18"/>
                              </w:rPr>
                              <w:t xml:space="preserve"> </w:t>
                            </w:r>
                            <w:r>
                              <w:rPr>
                                <w:sz w:val="18"/>
                                <w:szCs w:val="18"/>
                              </w:rPr>
                              <w:t>SSELT1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C04DE7A" id="Rectangle 71" o:spid="_x0000_s1039" style="position:absolute;left:0;text-align:left;margin-left:364.5pt;margin-top:8.85pt;width:55.5pt;height:10.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" stroked="f">
                <v:path arrowok="t"/>
                <v:textbox style="mso-fit-shape-to-text:t" inset="0,0,0,0">
                  <w:txbxContent>
                    <w:p w14:paraId="5C82CF5E" w14:textId="77777777" w:rsidR="004A1B6C" w:rsidRPr="0000706F" w:rsidRDefault="004A1B6C" w:rsidP="00E04B5D">
                      <w:pPr>
                        <w:rPr>
                          <w:sz w:val="18"/>
                          <w:szCs w:val="18"/>
                        </w:rPr>
                      </w:pPr>
                      <w:r>
                        <w:rPr>
                          <w:sz w:val="18"/>
                          <w:szCs w:val="18"/>
                        </w:rPr>
                        <w:t xml:space="preserve"> Max</w:t>
                      </w:r>
                      <w:r w:rsidRPr="0000706F">
                        <w:rPr>
                          <w:sz w:val="18"/>
                          <w:szCs w:val="18"/>
                        </w:rPr>
                        <w:t xml:space="preserve"> </w:t>
                      </w:r>
                      <w:r>
                        <w:rPr>
                          <w:sz w:val="18"/>
                          <w:szCs w:val="18"/>
                        </w:rPr>
                        <w:t>SSELT1</w:t>
                      </w:r>
                    </w:p>
                  </w:txbxContent>
                </v:textbox>
              </v:rect>
            </w:pict>
          </mc:Fallback>
        </mc:AlternateContent>
      </w:r>
      <w:r>
        <w:rPr>
          <w:b/>
          <w:noProof/>
          <w:sz w:val="18"/>
          <w:szCs w:val="18"/>
          <w:lang w:val="nb-NO" w:eastAsia="nb-NO"/>
        </w:rPr>
        <mc:AlternateContent>
          <mc:Choice Requires="wps">
            <w:drawing>
              <wp:anchor distT="0" distB="0" distL="114300" distR="114300" simplePos="0" relativeHeight="251702784" behindDoc="0" locked="0" layoutInCell="1" allowOverlap="1" wp14:anchorId="31D7B295" wp14:editId="6BD0AD11">
                <wp:simplePos x="0" y="0"/>
                <wp:positionH relativeFrom="column">
                  <wp:posOffset>3543300</wp:posOffset>
                </wp:positionH>
                <wp:positionV relativeFrom="paragraph">
                  <wp:posOffset>112395</wp:posOffset>
                </wp:positionV>
                <wp:extent cx="812800" cy="127000"/>
                <wp:effectExtent l="0" t="0" r="0" b="0"/>
                <wp:wrapNone/>
                <wp:docPr id="1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0" cy="127000"/>
                        </a:xfrm>
                        <a:prstGeom prst="rect">
                          <a:avLst/>
                        </a:prstGeom>
                        <a:solidFill>
                          <a:srgbClr val="FFFFFF"/>
                        </a:solidFill>
                        <a:ln>
                          <a:noFill/>
                        </a:ln>
                        <a:extLst>
                          <a:ext uri="{91240B29-F687-4f45-9708-019B960494DF}"/>
                        </a:extLst>
                      </wps:spPr>
                      <wps:txbx>
                        <w:txbxContent>
                          <w:p w14:paraId="1D2D70DB" w14:textId="77777777" w:rsidR="004A1B6C" w:rsidRPr="0000706F" w:rsidRDefault="004A1B6C" w:rsidP="00E04B5D">
                            <w:pPr>
                              <w:rPr>
                                <w:sz w:val="18"/>
                                <w:szCs w:val="18"/>
                              </w:rPr>
                            </w:pPr>
                            <w:r>
                              <w:rPr>
                                <w:sz w:val="18"/>
                                <w:szCs w:val="18"/>
                              </w:rPr>
                              <w:t xml:space="preserve"> +</w:t>
                            </w:r>
                            <w:r w:rsidRPr="0000706F">
                              <w:rPr>
                                <w:sz w:val="18"/>
                                <w:szCs w:val="18"/>
                              </w:rPr>
                              <w:t xml:space="preserve">1SD </w:t>
                            </w:r>
                            <w:r>
                              <w:rPr>
                                <w:sz w:val="18"/>
                                <w:szCs w:val="18"/>
                              </w:rPr>
                              <w:t>SSELT1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7B295" id="Rectangle 70" o:spid="_x0000_s1040" style="position:absolute;left:0;text-align:left;margin-left:279pt;margin-top:8.85pt;width:64pt;height:1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" stroked="f">
                <v:path arrowok="t"/>
                <v:textbox inset="0,0,0,0">
                  <w:txbxContent>
                    <w:p w14:paraId="1D2D70DB" w14:textId="77777777" w:rsidR="004A1B6C" w:rsidRPr="0000706F" w:rsidRDefault="004A1B6C" w:rsidP="00E04B5D">
                      <w:pPr>
                        <w:rPr>
                          <w:sz w:val="18"/>
                          <w:szCs w:val="18"/>
                        </w:rPr>
                      </w:pPr>
                      <w:r>
                        <w:rPr>
                          <w:sz w:val="18"/>
                          <w:szCs w:val="18"/>
                        </w:rPr>
                        <w:t xml:space="preserve"> +</w:t>
                      </w:r>
                      <w:r w:rsidRPr="0000706F">
                        <w:rPr>
                          <w:sz w:val="18"/>
                          <w:szCs w:val="18"/>
                        </w:rPr>
                        <w:t xml:space="preserve">1SD </w:t>
                      </w:r>
                      <w:r>
                        <w:rPr>
                          <w:sz w:val="18"/>
                          <w:szCs w:val="18"/>
                        </w:rPr>
                        <w:t>SSELT1</w:t>
                      </w:r>
                    </w:p>
                  </w:txbxContent>
                </v:textbox>
              </v:rect>
            </w:pict>
          </mc:Fallback>
        </mc:AlternateContent>
      </w:r>
      <w:r>
        <w:rPr>
          <w:b/>
          <w:noProof/>
          <w:sz w:val="18"/>
          <w:szCs w:val="18"/>
          <w:lang w:val="nb-NO" w:eastAsia="nb-NO"/>
        </w:rPr>
        <mc:AlternateContent>
          <mc:Choice Requires="wps">
            <w:drawing>
              <wp:anchor distT="0" distB="0" distL="114300" distR="114300" simplePos="0" relativeHeight="251701760" behindDoc="0" locked="0" layoutInCell="1" allowOverlap="1" wp14:anchorId="3AEAC3D0" wp14:editId="24A4C6EC">
                <wp:simplePos x="0" y="0"/>
                <wp:positionH relativeFrom="column">
                  <wp:posOffset>2559050</wp:posOffset>
                </wp:positionH>
                <wp:positionV relativeFrom="paragraph">
                  <wp:posOffset>112395</wp:posOffset>
                </wp:positionV>
                <wp:extent cx="692150" cy="131445"/>
                <wp:effectExtent l="0" t="0" r="0" b="0"/>
                <wp:wrapNone/>
                <wp:docPr id="1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0" cy="131445"/>
                        </a:xfrm>
                        <a:prstGeom prst="rect">
                          <a:avLst/>
                        </a:prstGeom>
                        <a:solidFill>
                          <a:srgbClr val="FFFFFF"/>
                        </a:solidFill>
                        <a:ln>
                          <a:noFill/>
                        </a:ln>
                        <a:extLst>
                          <a:ext uri="{91240B29-F687-4f45-9708-019B960494DF}"/>
                        </a:extLst>
                      </wps:spPr>
                      <wps:txbx>
                        <w:txbxContent>
                          <w:p w14:paraId="43758C21" w14:textId="77777777" w:rsidR="004A1B6C" w:rsidRPr="0000706F" w:rsidRDefault="004A1B6C" w:rsidP="00E04B5D">
                            <w:pPr>
                              <w:rPr>
                                <w:sz w:val="18"/>
                                <w:szCs w:val="18"/>
                              </w:rPr>
                            </w:pPr>
                            <w:r w:rsidRPr="0000706F">
                              <w:rPr>
                                <w:sz w:val="18"/>
                                <w:szCs w:val="18"/>
                              </w:rPr>
                              <w:t xml:space="preserve">Mean </w:t>
                            </w:r>
                            <w:r>
                              <w:rPr>
                                <w:sz w:val="18"/>
                                <w:szCs w:val="18"/>
                              </w:rPr>
                              <w:t>SSELT1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AEAC3D0" id="Rectangle 69" o:spid="_x0000_s1041" style="position:absolute;left:0;text-align:left;margin-left:201.5pt;margin-top:8.85pt;width:54.5pt;height:10.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" stroked="f">
                <v:path arrowok="t"/>
                <v:textbox style="mso-fit-shape-to-text:t" inset="0,0,0,0">
                  <w:txbxContent>
                    <w:p w14:paraId="43758C21" w14:textId="77777777" w:rsidR="004A1B6C" w:rsidRPr="0000706F" w:rsidRDefault="004A1B6C" w:rsidP="00E04B5D">
                      <w:pPr>
                        <w:rPr>
                          <w:sz w:val="18"/>
                          <w:szCs w:val="18"/>
                        </w:rPr>
                      </w:pPr>
                      <w:r w:rsidRPr="0000706F">
                        <w:rPr>
                          <w:sz w:val="18"/>
                          <w:szCs w:val="18"/>
                        </w:rPr>
                        <w:t xml:space="preserve">Mean </w:t>
                      </w:r>
                      <w:r>
                        <w:rPr>
                          <w:sz w:val="18"/>
                          <w:szCs w:val="18"/>
                        </w:rPr>
                        <w:t>SSELT1</w:t>
                      </w:r>
                    </w:p>
                  </w:txbxContent>
                </v:textbox>
              </v:rect>
            </w:pict>
          </mc:Fallback>
        </mc:AlternateContent>
      </w:r>
      <w:r>
        <w:rPr>
          <w:b/>
          <w:noProof/>
          <w:sz w:val="18"/>
          <w:szCs w:val="18"/>
          <w:lang w:val="nb-NO" w:eastAsia="nb-NO"/>
        </w:rPr>
        <mc:AlternateContent>
          <mc:Choice Requires="wps">
            <w:drawing>
              <wp:anchor distT="0" distB="0" distL="114300" distR="114300" simplePos="0" relativeHeight="251700736" behindDoc="0" locked="0" layoutInCell="1" allowOverlap="1" wp14:anchorId="5B66D98E" wp14:editId="2F882538">
                <wp:simplePos x="0" y="0"/>
                <wp:positionH relativeFrom="column">
                  <wp:posOffset>1536700</wp:posOffset>
                </wp:positionH>
                <wp:positionV relativeFrom="paragraph">
                  <wp:posOffset>112395</wp:posOffset>
                </wp:positionV>
                <wp:extent cx="679450" cy="131445"/>
                <wp:effectExtent l="0" t="0" r="0" b="0"/>
                <wp:wrapNone/>
                <wp:docPr id="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 cy="131445"/>
                        </a:xfrm>
                        <a:prstGeom prst="rect">
                          <a:avLst/>
                        </a:prstGeom>
                        <a:solidFill>
                          <a:srgbClr val="FFFFFF"/>
                        </a:solidFill>
                        <a:ln>
                          <a:noFill/>
                        </a:ln>
                        <a:extLst>
                          <a:ext uri="{91240B29-F687-4f45-9708-019B960494DF}"/>
                        </a:extLst>
                      </wps:spPr>
                      <wps:txbx>
                        <w:txbxContent>
                          <w:p w14:paraId="45E85EA8" w14:textId="77777777" w:rsidR="004A1B6C" w:rsidRPr="0000706F" w:rsidRDefault="004A1B6C" w:rsidP="00E04B5D">
                            <w:pPr>
                              <w:rPr>
                                <w:sz w:val="18"/>
                                <w:szCs w:val="18"/>
                              </w:rPr>
                            </w:pPr>
                            <w:r w:rsidRPr="0000706F">
                              <w:rPr>
                                <w:sz w:val="18"/>
                                <w:szCs w:val="18"/>
                              </w:rPr>
                              <w:t xml:space="preserve">-1SD </w:t>
                            </w:r>
                            <w:r>
                              <w:rPr>
                                <w:sz w:val="18"/>
                                <w:szCs w:val="18"/>
                              </w:rPr>
                              <w:t>SSELT1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B66D98E" id="Rectangle 68" o:spid="_x0000_s1042" style="position:absolute;left:0;text-align:left;margin-left:121pt;margin-top:8.85pt;width:53.5pt;height:10.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" stroked="f">
                <v:path arrowok="t"/>
                <v:textbox style="mso-fit-shape-to-text:t" inset="0,0,0,0">
                  <w:txbxContent>
                    <w:p w14:paraId="45E85EA8" w14:textId="77777777" w:rsidR="004A1B6C" w:rsidRPr="0000706F" w:rsidRDefault="004A1B6C" w:rsidP="00E04B5D">
                      <w:pPr>
                        <w:rPr>
                          <w:sz w:val="18"/>
                          <w:szCs w:val="18"/>
                        </w:rPr>
                      </w:pPr>
                      <w:r w:rsidRPr="0000706F">
                        <w:rPr>
                          <w:sz w:val="18"/>
                          <w:szCs w:val="18"/>
                        </w:rPr>
                        <w:t xml:space="preserve">-1SD </w:t>
                      </w:r>
                      <w:r>
                        <w:rPr>
                          <w:sz w:val="18"/>
                          <w:szCs w:val="18"/>
                        </w:rPr>
                        <w:t>SSELT1</w:t>
                      </w:r>
                    </w:p>
                  </w:txbxContent>
                </v:textbox>
              </v:rect>
            </w:pict>
          </mc:Fallback>
        </mc:AlternateContent>
      </w:r>
      <w:r>
        <w:rPr>
          <w:b/>
          <w:noProof/>
          <w:sz w:val="18"/>
          <w:szCs w:val="18"/>
          <w:lang w:val="nb-NO" w:eastAsia="nb-NO"/>
        </w:rPr>
        <mc:AlternateContent>
          <mc:Choice Requires="wps">
            <w:drawing>
              <wp:anchor distT="0" distB="0" distL="114300" distR="114300" simplePos="0" relativeHeight="251699712" behindDoc="0" locked="0" layoutInCell="1" allowOverlap="1" wp14:anchorId="13B4F202" wp14:editId="09A44D7A">
                <wp:simplePos x="0" y="0"/>
                <wp:positionH relativeFrom="column">
                  <wp:posOffset>387350</wp:posOffset>
                </wp:positionH>
                <wp:positionV relativeFrom="paragraph">
                  <wp:posOffset>112395</wp:posOffset>
                </wp:positionV>
                <wp:extent cx="730250" cy="131445"/>
                <wp:effectExtent l="0" t="0" r="0" b="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0" cy="131445"/>
                        </a:xfrm>
                        <a:prstGeom prst="rect">
                          <a:avLst/>
                        </a:prstGeom>
                        <a:solidFill>
                          <a:srgbClr val="FFFFFF"/>
                        </a:solidFill>
                        <a:ln>
                          <a:noFill/>
                        </a:ln>
                        <a:extLst>
                          <a:ext uri="{91240B29-F687-4f45-9708-019B960494DF}"/>
                        </a:extLst>
                      </wps:spPr>
                      <wps:txbx>
                        <w:txbxContent>
                          <w:p w14:paraId="3004F553" w14:textId="77777777" w:rsidR="004A1B6C" w:rsidRPr="00E04B5D" w:rsidRDefault="004A1B6C" w:rsidP="00E04B5D">
                            <w:pPr>
                              <w:rPr>
                                <w:sz w:val="18"/>
                                <w:szCs w:val="18"/>
                              </w:rPr>
                            </w:pPr>
                            <w:r>
                              <w:rPr>
                                <w:sz w:val="18"/>
                                <w:szCs w:val="18"/>
                              </w:rPr>
                              <w:t xml:space="preserve"> </w:t>
                            </w:r>
                            <w:r w:rsidRPr="00E04B5D">
                              <w:rPr>
                                <w:sz w:val="18"/>
                                <w:szCs w:val="18"/>
                              </w:rPr>
                              <w:t xml:space="preserve">Min. </w:t>
                            </w:r>
                            <w:r>
                              <w:rPr>
                                <w:sz w:val="18"/>
                                <w:szCs w:val="18"/>
                              </w:rPr>
                              <w:t>SSELT1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3B4F202" id="Rectangle 67" o:spid="_x0000_s1043" style="position:absolute;left:0;text-align:left;margin-left:30.5pt;margin-top:8.85pt;width:57.5pt;height:10.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" stroked="f">
                <v:path arrowok="t"/>
                <v:textbox style="mso-fit-shape-to-text:t" inset="0,0,0,0">
                  <w:txbxContent>
                    <w:p w14:paraId="3004F553" w14:textId="77777777" w:rsidR="004A1B6C" w:rsidRPr="00E04B5D" w:rsidRDefault="004A1B6C" w:rsidP="00E04B5D">
                      <w:pPr>
                        <w:rPr>
                          <w:sz w:val="18"/>
                          <w:szCs w:val="18"/>
                        </w:rPr>
                      </w:pPr>
                      <w:r>
                        <w:rPr>
                          <w:sz w:val="18"/>
                          <w:szCs w:val="18"/>
                        </w:rPr>
                        <w:t xml:space="preserve"> </w:t>
                      </w:r>
                      <w:r w:rsidRPr="00E04B5D">
                        <w:rPr>
                          <w:sz w:val="18"/>
                          <w:szCs w:val="18"/>
                        </w:rPr>
                        <w:t xml:space="preserve">Min. </w:t>
                      </w:r>
                      <w:r>
                        <w:rPr>
                          <w:sz w:val="18"/>
                          <w:szCs w:val="18"/>
                        </w:rPr>
                        <w:t>SSELT1</w:t>
                      </w:r>
                    </w:p>
                  </w:txbxContent>
                </v:textbox>
              </v:rect>
            </w:pict>
          </mc:Fallback>
        </mc:AlternateContent>
      </w:r>
    </w:p>
    <w:p w14:paraId="08276398" w14:textId="130BE7AA" w:rsidR="00E17A7C" w:rsidRPr="00605672" w:rsidRDefault="00D90DFD" w:rsidP="00A71D0F">
      <w:pPr>
        <w:ind w:left="567" w:hanging="1017"/>
        <w:rPr>
          <w:sz w:val="18"/>
          <w:szCs w:val="18"/>
        </w:rPr>
      </w:pPr>
      <w:r>
        <w:rPr>
          <w:b/>
          <w:noProof/>
          <w:sz w:val="18"/>
          <w:szCs w:val="18"/>
          <w:lang w:val="nb-NO" w:eastAsia="nb-NO"/>
        </w:rPr>
        <mc:AlternateContent>
          <mc:Choice Requires="wps">
            <w:drawing>
              <wp:anchor distT="4294967294" distB="4294967294" distL="114300" distR="114300" simplePos="0" relativeHeight="251697664" behindDoc="0" locked="0" layoutInCell="1" allowOverlap="1" wp14:anchorId="1FB4ECE7" wp14:editId="488E381F">
                <wp:simplePos x="0" y="0"/>
                <wp:positionH relativeFrom="column">
                  <wp:posOffset>3259455</wp:posOffset>
                </wp:positionH>
                <wp:positionV relativeFrom="paragraph">
                  <wp:posOffset>66039</wp:posOffset>
                </wp:positionV>
                <wp:extent cx="280670" cy="0"/>
                <wp:effectExtent l="0" t="0" r="5080" b="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0670" cy="0"/>
                        </a:xfrm>
                        <a:prstGeom prst="straightConnector1">
                          <a:avLst/>
                        </a:prstGeom>
                        <a:noFill/>
                        <a:ln w="12700">
                          <a:solidFill>
                            <a:srgbClr val="FFC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0549881F" id="AutoShape 34" o:spid="_x0000_s1026" type="#_x0000_t32" style="position:absolute;margin-left:256.65pt;margin-top:5.2pt;width:22.1pt;height:0;z-index:251697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" strokecolor="#ffc000" strokeweight="1pt">
                <o:lock v:ext="edit" shapetype="f"/>
              </v:shape>
            </w:pict>
          </mc:Fallback>
        </mc:AlternateContent>
      </w:r>
      <w:r>
        <w:rPr>
          <w:b/>
          <w:noProof/>
          <w:sz w:val="18"/>
          <w:szCs w:val="18"/>
          <w:lang w:val="nb-NO" w:eastAsia="nb-NO"/>
        </w:rPr>
        <mc:AlternateContent>
          <mc:Choice Requires="wps">
            <w:drawing>
              <wp:anchor distT="4294967294" distB="4294967294" distL="114300" distR="114300" simplePos="0" relativeHeight="251696640" behindDoc="0" locked="0" layoutInCell="1" allowOverlap="1" wp14:anchorId="7AF119E7" wp14:editId="44F69DE6">
                <wp:simplePos x="0" y="0"/>
                <wp:positionH relativeFrom="column">
                  <wp:posOffset>2216785</wp:posOffset>
                </wp:positionH>
                <wp:positionV relativeFrom="paragraph">
                  <wp:posOffset>64134</wp:posOffset>
                </wp:positionV>
                <wp:extent cx="280670" cy="0"/>
                <wp:effectExtent l="0" t="0" r="5080" b="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0670" cy="0"/>
                        </a:xfrm>
                        <a:prstGeom prst="straightConnector1">
                          <a:avLst/>
                        </a:prstGeom>
                        <a:noFill/>
                        <a:ln w="12700">
                          <a:solidFill>
                            <a:schemeClr val="bg1">
                              <a:lumMod val="65000"/>
                              <a:lumOff val="0"/>
                            </a:schemeClr>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36DD955C" id="AutoShape 33" o:spid="_x0000_s1026" type="#_x0000_t32" style="position:absolute;margin-left:174.55pt;margin-top:5.05pt;width:22.1pt;height:0;z-index:251696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" strokecolor="#a5a5a5 [2092]" strokeweight="1pt">
                <o:lock v:ext="edit" shapetype="f"/>
              </v:shape>
            </w:pict>
          </mc:Fallback>
        </mc:AlternateContent>
      </w:r>
      <w:r>
        <w:rPr>
          <w:b/>
          <w:noProof/>
          <w:sz w:val="18"/>
          <w:szCs w:val="18"/>
          <w:lang w:val="nb-NO" w:eastAsia="nb-NO"/>
        </w:rPr>
        <mc:AlternateContent>
          <mc:Choice Requires="wps">
            <w:drawing>
              <wp:anchor distT="0" distB="0" distL="114300" distR="114300" simplePos="0" relativeHeight="251698688" behindDoc="0" locked="0" layoutInCell="1" allowOverlap="1" wp14:anchorId="0E7BB7C5" wp14:editId="40A46CB7">
                <wp:simplePos x="0" y="0"/>
                <wp:positionH relativeFrom="column">
                  <wp:posOffset>4353560</wp:posOffset>
                </wp:positionH>
                <wp:positionV relativeFrom="paragraph">
                  <wp:posOffset>64135</wp:posOffset>
                </wp:positionV>
                <wp:extent cx="273050" cy="635"/>
                <wp:effectExtent l="0" t="0" r="12700" b="18415"/>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3050" cy="635"/>
                        </a:xfrm>
                        <a:prstGeom prst="straightConnector1">
                          <a:avLst/>
                        </a:prstGeom>
                        <a:noFill/>
                        <a:ln w="12700">
                          <a:solidFill>
                            <a:srgbClr val="0070C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69858E44" id="AutoShape 35" o:spid="_x0000_s1026" type="#_x0000_t32" style="position:absolute;margin-left:342.8pt;margin-top:5.05pt;width:21.5pt;height:.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" strokecolor="#0070c0" strokeweight="1pt">
                <o:lock v:ext="edit" shapetype="f"/>
              </v:shape>
            </w:pict>
          </mc:Fallback>
        </mc:AlternateContent>
      </w:r>
      <w:r>
        <w:rPr>
          <w:b/>
          <w:noProof/>
          <w:sz w:val="18"/>
          <w:szCs w:val="18"/>
          <w:lang w:val="nb-NO" w:eastAsia="nb-NO"/>
        </w:rPr>
        <mc:AlternateContent>
          <mc:Choice Requires="wps">
            <w:drawing>
              <wp:anchor distT="4294967294" distB="4294967294" distL="114300" distR="114300" simplePos="0" relativeHeight="251695616" behindDoc="0" locked="0" layoutInCell="1" allowOverlap="1" wp14:anchorId="3B45B5FE" wp14:editId="6A659749">
                <wp:simplePos x="0" y="0"/>
                <wp:positionH relativeFrom="column">
                  <wp:posOffset>1205865</wp:posOffset>
                </wp:positionH>
                <wp:positionV relativeFrom="paragraph">
                  <wp:posOffset>67944</wp:posOffset>
                </wp:positionV>
                <wp:extent cx="280670" cy="0"/>
                <wp:effectExtent l="0" t="0" r="5080" b="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0670" cy="0"/>
                        </a:xfrm>
                        <a:prstGeom prst="straightConnector1">
                          <a:avLst/>
                        </a:prstGeom>
                        <a:noFill/>
                        <a:ln w="12700">
                          <a:solidFill>
                            <a:srgbClr val="FE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02F7030F" id="AutoShape 32" o:spid="_x0000_s1026" type="#_x0000_t32" style="position:absolute;margin-left:94.95pt;margin-top:5.35pt;width:22.1pt;height:0;z-index:251695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" strokecolor="#fe0000" strokeweight="1pt">
                <o:lock v:ext="edit" shapetype="f"/>
              </v:shape>
            </w:pict>
          </mc:Fallback>
        </mc:AlternateContent>
      </w:r>
      <w:r>
        <w:rPr>
          <w:b/>
          <w:noProof/>
          <w:sz w:val="18"/>
          <w:szCs w:val="18"/>
          <w:lang w:val="nb-NO" w:eastAsia="nb-NO"/>
        </w:rPr>
        <mc:AlternateContent>
          <mc:Choice Requires="wps">
            <w:drawing>
              <wp:anchor distT="4294967294" distB="4294967294" distL="114300" distR="114300" simplePos="0" relativeHeight="251694592" behindDoc="0" locked="0" layoutInCell="1" allowOverlap="1" wp14:anchorId="7C63984D" wp14:editId="0B474EED">
                <wp:simplePos x="0" y="0"/>
                <wp:positionH relativeFrom="column">
                  <wp:posOffset>109220</wp:posOffset>
                </wp:positionH>
                <wp:positionV relativeFrom="paragraph">
                  <wp:posOffset>66039</wp:posOffset>
                </wp:positionV>
                <wp:extent cx="280670" cy="0"/>
                <wp:effectExtent l="0" t="0" r="5080" b="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0670" cy="0"/>
                        </a:xfrm>
                        <a:prstGeom prst="straightConnector1">
                          <a:avLst/>
                        </a:prstGeom>
                        <a:noFill/>
                        <a:ln w="12700">
                          <a:solidFill>
                            <a:srgbClr val="00B05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91BC4E0" id="AutoShape 31" o:spid="_x0000_s1026" type="#_x0000_t32" style="position:absolute;margin-left:8.6pt;margin-top:5.2pt;width:22.1pt;height:0;z-index:251694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" strokecolor="#00b050" strokeweight="1pt">
                <o:lock v:ext="edit" shapetype="f"/>
              </v:shape>
            </w:pict>
          </mc:Fallback>
        </mc:AlternateContent>
      </w:r>
      <w:r w:rsidR="00E04B5D" w:rsidRPr="00605672">
        <w:rPr>
          <w:b/>
          <w:sz w:val="18"/>
          <w:szCs w:val="18"/>
        </w:rPr>
        <w:tab/>
      </w:r>
      <w:r w:rsidR="00E04B5D" w:rsidRPr="00605672">
        <w:rPr>
          <w:sz w:val="18"/>
          <w:szCs w:val="18"/>
        </w:rPr>
        <w:tab/>
      </w:r>
      <w:r w:rsidR="00E04B5D" w:rsidRPr="00605672">
        <w:rPr>
          <w:sz w:val="18"/>
          <w:szCs w:val="18"/>
        </w:rPr>
        <w:tab/>
      </w:r>
      <w:r w:rsidR="00E04B5D" w:rsidRPr="00605672">
        <w:rPr>
          <w:sz w:val="18"/>
          <w:szCs w:val="18"/>
        </w:rPr>
        <w:tab/>
      </w:r>
    </w:p>
    <w:p w14:paraId="6A246315" w14:textId="77777777" w:rsidR="00E17A7C" w:rsidRPr="00605672" w:rsidRDefault="00E17A7C" w:rsidP="00A71D0F">
      <w:pPr>
        <w:ind w:left="567" w:hanging="1017"/>
        <w:rPr>
          <w:b/>
          <w:sz w:val="18"/>
          <w:szCs w:val="18"/>
        </w:rPr>
      </w:pPr>
    </w:p>
    <w:p w14:paraId="10FA048F" w14:textId="77777777" w:rsidR="00E17A7C" w:rsidRPr="00605672" w:rsidRDefault="00E17A7C" w:rsidP="00A71D0F">
      <w:pPr>
        <w:ind w:left="567" w:hanging="1017"/>
        <w:rPr>
          <w:b/>
          <w:sz w:val="18"/>
          <w:szCs w:val="18"/>
        </w:rPr>
      </w:pPr>
    </w:p>
    <w:p w14:paraId="628D92F3" w14:textId="6CA1ECBE" w:rsidR="00E17A7C" w:rsidRPr="00605672" w:rsidRDefault="00D90DFD" w:rsidP="00A71D0F">
      <w:pPr>
        <w:ind w:left="567" w:hanging="1017"/>
        <w:rPr>
          <w:b/>
          <w:sz w:val="18"/>
          <w:szCs w:val="18"/>
        </w:rPr>
      </w:pPr>
      <w:r>
        <w:rPr>
          <w:b/>
          <w:noProof/>
          <w:sz w:val="18"/>
          <w:szCs w:val="18"/>
          <w:lang w:val="nb-NO" w:eastAsia="nb-NO"/>
        </w:rPr>
        <mc:AlternateContent>
          <mc:Choice Requires="wps">
            <w:drawing>
              <wp:anchor distT="0" distB="0" distL="114300" distR="114300" simplePos="0" relativeHeight="251692544" behindDoc="0" locked="0" layoutInCell="1" allowOverlap="1" wp14:anchorId="13D6C9AC" wp14:editId="688C623F">
                <wp:simplePos x="0" y="0"/>
                <wp:positionH relativeFrom="column">
                  <wp:posOffset>-533400</wp:posOffset>
                </wp:positionH>
                <wp:positionV relativeFrom="paragraph">
                  <wp:posOffset>113030</wp:posOffset>
                </wp:positionV>
                <wp:extent cx="6297930" cy="964565"/>
                <wp:effectExtent l="0" t="0" r="0" b="0"/>
                <wp:wrapNone/>
                <wp:docPr id="1"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7930" cy="964565"/>
                        </a:xfrm>
                        <a:prstGeom prst="rect">
                          <a:avLst/>
                        </a:prstGeom>
                        <a:solidFill>
                          <a:srgbClr val="FFFFFF"/>
                        </a:solidFill>
                        <a:ln>
                          <a:noFill/>
                        </a:ln>
                        <a:extLst>
                          <a:ext uri="{91240B29-F687-4f45-9708-019B960494DF}"/>
                        </a:extLst>
                      </wps:spPr>
                      <wps:txbx>
                        <w:txbxContent>
                          <w:p w14:paraId="575D793A" w14:textId="4771D949" w:rsidR="004A1B6C" w:rsidRPr="0030250D" w:rsidRDefault="004A1B6C" w:rsidP="00B82AFA">
                            <w:pPr>
                              <w:rPr>
                                <w:sz w:val="18"/>
                                <w:szCs w:val="18"/>
                              </w:rPr>
                            </w:pPr>
                            <w:r w:rsidRPr="00727D37">
                              <w:rPr>
                                <w:sz w:val="18"/>
                                <w:szCs w:val="18"/>
                              </w:rPr>
                              <w:t>Notes</w:t>
                            </w:r>
                            <w:r>
                              <w:rPr>
                                <w:sz w:val="18"/>
                                <w:szCs w:val="18"/>
                              </w:rPr>
                              <w:t>:</w:t>
                            </w:r>
                            <w:r w:rsidRPr="00F63D0F">
                              <w:rPr>
                                <w:sz w:val="18"/>
                                <w:szCs w:val="18"/>
                              </w:rPr>
                              <w:t xml:space="preserve"> Slope coefficients for the effect </w:t>
                            </w:r>
                            <w:r w:rsidRPr="00811704">
                              <w:rPr>
                                <w:sz w:val="18"/>
                                <w:szCs w:val="18"/>
                              </w:rPr>
                              <w:t xml:space="preserve">of supplier incremental investments on transaction costs are shown </w:t>
                            </w:r>
                            <w:r>
                              <w:rPr>
                                <w:sz w:val="18"/>
                                <w:szCs w:val="18"/>
                              </w:rPr>
                              <w:t>in this</w:t>
                            </w:r>
                            <w:r w:rsidRPr="00811704">
                              <w:rPr>
                                <w:sz w:val="18"/>
                                <w:szCs w:val="18"/>
                              </w:rPr>
                              <w:t xml:space="preserve"> plot.</w:t>
                            </w:r>
                            <w:r w:rsidRPr="0030250D">
                              <w:rPr>
                                <w:sz w:val="18"/>
                                <w:szCs w:val="18"/>
                              </w:rPr>
                              <w:t xml:space="preserve"> The coefficients are plotted at the minimum (β</w:t>
                            </w:r>
                            <w:r w:rsidRPr="0030250D">
                              <w:rPr>
                                <w:sz w:val="18"/>
                                <w:szCs w:val="18"/>
                                <w:vertAlign w:val="subscript"/>
                              </w:rPr>
                              <w:t>Min</w:t>
                            </w:r>
                            <w:r w:rsidRPr="0030250D">
                              <w:rPr>
                                <w:sz w:val="18"/>
                                <w:szCs w:val="18"/>
                              </w:rPr>
                              <w:t>)</w:t>
                            </w:r>
                            <w:r>
                              <w:rPr>
                                <w:sz w:val="18"/>
                                <w:szCs w:val="18"/>
                              </w:rPr>
                              <w:t>,</w:t>
                            </w:r>
                            <w:r w:rsidRPr="0030250D">
                              <w:rPr>
                                <w:sz w:val="18"/>
                                <w:szCs w:val="18"/>
                              </w:rPr>
                              <w:t xml:space="preserve"> </w:t>
                            </w:r>
                            <w:r>
                              <w:rPr>
                                <w:sz w:val="18"/>
                                <w:szCs w:val="18"/>
                              </w:rPr>
                              <w:t>–</w:t>
                            </w:r>
                            <w:r w:rsidRPr="0030250D">
                              <w:rPr>
                                <w:sz w:val="18"/>
                                <w:szCs w:val="18"/>
                              </w:rPr>
                              <w:t>1SD (β</w:t>
                            </w:r>
                            <w:r>
                              <w:rPr>
                                <w:sz w:val="18"/>
                                <w:szCs w:val="18"/>
                                <w:vertAlign w:val="subscript"/>
                              </w:rPr>
                              <w:t>–</w:t>
                            </w:r>
                            <w:r w:rsidRPr="0030250D">
                              <w:rPr>
                                <w:sz w:val="18"/>
                                <w:szCs w:val="18"/>
                                <w:vertAlign w:val="subscript"/>
                              </w:rPr>
                              <w:t>1SD</w:t>
                            </w:r>
                            <w:r w:rsidRPr="0030250D">
                              <w:rPr>
                                <w:sz w:val="18"/>
                                <w:szCs w:val="18"/>
                              </w:rPr>
                              <w:t>)</w:t>
                            </w:r>
                            <w:r>
                              <w:rPr>
                                <w:sz w:val="18"/>
                                <w:szCs w:val="18"/>
                              </w:rPr>
                              <w:t>, the</w:t>
                            </w:r>
                            <w:r w:rsidRPr="0030250D">
                              <w:rPr>
                                <w:sz w:val="18"/>
                                <w:szCs w:val="18"/>
                              </w:rPr>
                              <w:t xml:space="preserve"> mean (β</w:t>
                            </w:r>
                            <w:r w:rsidRPr="0030250D">
                              <w:rPr>
                                <w:sz w:val="18"/>
                                <w:szCs w:val="18"/>
                                <w:vertAlign w:val="subscript"/>
                              </w:rPr>
                              <w:t>Mean</w:t>
                            </w:r>
                            <w:r w:rsidRPr="0030250D">
                              <w:rPr>
                                <w:sz w:val="18"/>
                                <w:szCs w:val="18"/>
                              </w:rPr>
                              <w:t>)</w:t>
                            </w:r>
                            <w:r>
                              <w:rPr>
                                <w:sz w:val="18"/>
                                <w:szCs w:val="18"/>
                              </w:rPr>
                              <w:t xml:space="preserve">, </w:t>
                            </w:r>
                            <w:r w:rsidRPr="0030250D">
                              <w:rPr>
                                <w:sz w:val="18"/>
                                <w:szCs w:val="18"/>
                              </w:rPr>
                              <w:t>+1SD (β</w:t>
                            </w:r>
                            <w:r>
                              <w:rPr>
                                <w:sz w:val="18"/>
                                <w:szCs w:val="18"/>
                                <w:vertAlign w:val="subscript"/>
                              </w:rPr>
                              <w:t>+</w:t>
                            </w:r>
                            <w:r w:rsidRPr="0030250D">
                              <w:rPr>
                                <w:sz w:val="18"/>
                                <w:szCs w:val="18"/>
                                <w:vertAlign w:val="subscript"/>
                              </w:rPr>
                              <w:t>1SD</w:t>
                            </w:r>
                            <w:r w:rsidRPr="0030250D">
                              <w:rPr>
                                <w:sz w:val="18"/>
                                <w:szCs w:val="18"/>
                              </w:rPr>
                              <w:t>)</w:t>
                            </w:r>
                            <w:r>
                              <w:rPr>
                                <w:sz w:val="18"/>
                                <w:szCs w:val="18"/>
                              </w:rPr>
                              <w:t>,</w:t>
                            </w:r>
                            <w:r w:rsidRPr="0030250D">
                              <w:rPr>
                                <w:sz w:val="18"/>
                                <w:szCs w:val="18"/>
                              </w:rPr>
                              <w:t xml:space="preserve"> and </w:t>
                            </w:r>
                            <w:r>
                              <w:rPr>
                                <w:sz w:val="18"/>
                                <w:szCs w:val="18"/>
                              </w:rPr>
                              <w:t>the</w:t>
                            </w:r>
                            <w:r w:rsidRPr="0030250D">
                              <w:rPr>
                                <w:sz w:val="18"/>
                                <w:szCs w:val="18"/>
                              </w:rPr>
                              <w:t xml:space="preserve"> maximum (β</w:t>
                            </w:r>
                            <w:r w:rsidRPr="0030250D">
                              <w:rPr>
                                <w:sz w:val="18"/>
                                <w:szCs w:val="18"/>
                                <w:vertAlign w:val="subscript"/>
                              </w:rPr>
                              <w:t>Max</w:t>
                            </w:r>
                            <w:r w:rsidRPr="0030250D">
                              <w:rPr>
                                <w:sz w:val="18"/>
                                <w:szCs w:val="18"/>
                              </w:rPr>
                              <w:t>) value</w:t>
                            </w:r>
                            <w:r>
                              <w:rPr>
                                <w:sz w:val="18"/>
                                <w:szCs w:val="18"/>
                              </w:rPr>
                              <w:t>s</w:t>
                            </w:r>
                            <w:r w:rsidRPr="0030250D">
                              <w:rPr>
                                <w:sz w:val="18"/>
                                <w:szCs w:val="18"/>
                              </w:rPr>
                              <w:t xml:space="preserve"> of </w:t>
                            </w:r>
                            <w:r>
                              <w:rPr>
                                <w:sz w:val="18"/>
                                <w:szCs w:val="18"/>
                              </w:rPr>
                              <w:t xml:space="preserve">mutual asymmetric </w:t>
                            </w:r>
                            <w:r w:rsidRPr="0030250D">
                              <w:rPr>
                                <w:sz w:val="18"/>
                                <w:szCs w:val="18"/>
                              </w:rPr>
                              <w:t>investments in the supplier’s favor</w:t>
                            </w:r>
                            <w:r w:rsidRPr="0030250D" w:rsidDel="00FD23C2">
                              <w:rPr>
                                <w:sz w:val="18"/>
                                <w:szCs w:val="18"/>
                              </w:rPr>
                              <w:t xml:space="preserve"> </w:t>
                            </w:r>
                            <w:r w:rsidRPr="0030250D">
                              <w:rPr>
                                <w:sz w:val="18"/>
                                <w:szCs w:val="18"/>
                              </w:rPr>
                              <w:t>(</w:t>
                            </w:r>
                            <w:r w:rsidRPr="005D7CD7">
                              <w:rPr>
                                <w:sz w:val="18"/>
                                <w:szCs w:val="18"/>
                              </w:rPr>
                              <w:t>INVDIFF), for various fixed lev</w:t>
                            </w:r>
                            <w:r w:rsidRPr="00F63D0F">
                              <w:rPr>
                                <w:sz w:val="18"/>
                                <w:szCs w:val="18"/>
                              </w:rPr>
                              <w:t>els of</w:t>
                            </w:r>
                            <w:r>
                              <w:rPr>
                                <w:sz w:val="18"/>
                                <w:szCs w:val="18"/>
                              </w:rPr>
                              <w:t xml:space="preserve"> initial</w:t>
                            </w:r>
                            <w:r w:rsidRPr="00F63D0F">
                              <w:rPr>
                                <w:sz w:val="18"/>
                                <w:szCs w:val="18"/>
                              </w:rPr>
                              <w:t xml:space="preserve"> reseller </w:t>
                            </w:r>
                            <w:r>
                              <w:rPr>
                                <w:sz w:val="18"/>
                                <w:szCs w:val="18"/>
                              </w:rPr>
                              <w:t>selection</w:t>
                            </w:r>
                            <w:r w:rsidRPr="00F63D0F">
                              <w:rPr>
                                <w:sz w:val="18"/>
                                <w:szCs w:val="18"/>
                              </w:rPr>
                              <w:t xml:space="preserve"> (</w:t>
                            </w:r>
                            <w:r>
                              <w:rPr>
                                <w:sz w:val="18"/>
                                <w:szCs w:val="18"/>
                              </w:rPr>
                              <w:t>SSEL</w:t>
                            </w:r>
                            <w:r w:rsidRPr="00F63D0F">
                              <w:rPr>
                                <w:sz w:val="18"/>
                                <w:szCs w:val="18"/>
                              </w:rPr>
                              <w:t xml:space="preserve">T1). The minimum, </w:t>
                            </w:r>
                            <w:r>
                              <w:rPr>
                                <w:sz w:val="18"/>
                                <w:szCs w:val="18"/>
                              </w:rPr>
                              <w:t>–</w:t>
                            </w:r>
                            <w:r w:rsidRPr="00F63D0F">
                              <w:rPr>
                                <w:sz w:val="18"/>
                                <w:szCs w:val="18"/>
                              </w:rPr>
                              <w:t xml:space="preserve">1SD, mean, +1SD and maximum values of INVDIFF at which the slope values </w:t>
                            </w:r>
                            <w:r w:rsidRPr="00811704">
                              <w:rPr>
                                <w:sz w:val="18"/>
                                <w:szCs w:val="18"/>
                              </w:rPr>
                              <w:t>are plotted are</w:t>
                            </w:r>
                            <w:r w:rsidRPr="0030250D">
                              <w:rPr>
                                <w:sz w:val="18"/>
                                <w:szCs w:val="18"/>
                              </w:rPr>
                              <w:t xml:space="preserve"> </w:t>
                            </w:r>
                            <w:r>
                              <w:rPr>
                                <w:sz w:val="18"/>
                                <w:szCs w:val="18"/>
                              </w:rPr>
                              <w:t>–</w:t>
                            </w:r>
                            <w:r w:rsidRPr="0030250D">
                              <w:rPr>
                                <w:sz w:val="18"/>
                                <w:szCs w:val="18"/>
                              </w:rPr>
                              <w:t xml:space="preserve">3.01, </w:t>
                            </w:r>
                            <w:r>
                              <w:rPr>
                                <w:sz w:val="18"/>
                                <w:szCs w:val="18"/>
                              </w:rPr>
                              <w:t>–</w:t>
                            </w:r>
                            <w:r w:rsidRPr="0030250D">
                              <w:rPr>
                                <w:sz w:val="18"/>
                                <w:szCs w:val="18"/>
                              </w:rPr>
                              <w:t>.91, 0</w:t>
                            </w:r>
                            <w:r>
                              <w:rPr>
                                <w:sz w:val="18"/>
                                <w:szCs w:val="18"/>
                              </w:rPr>
                              <w:t xml:space="preserve">, </w:t>
                            </w:r>
                            <w:r w:rsidRPr="0030250D">
                              <w:rPr>
                                <w:sz w:val="18"/>
                                <w:szCs w:val="18"/>
                              </w:rPr>
                              <w:t>.91, and 2.11</w:t>
                            </w:r>
                            <w:r>
                              <w:rPr>
                                <w:sz w:val="18"/>
                                <w:szCs w:val="18"/>
                              </w:rPr>
                              <w:t xml:space="preserve">, respectively. </w:t>
                            </w:r>
                            <w:r w:rsidRPr="0030250D">
                              <w:rPr>
                                <w:sz w:val="18"/>
                                <w:szCs w:val="18"/>
                              </w:rPr>
                              <w:t xml:space="preserve">There are five different lines, one for each level of </w:t>
                            </w:r>
                            <w:r>
                              <w:rPr>
                                <w:sz w:val="18"/>
                                <w:szCs w:val="18"/>
                              </w:rPr>
                              <w:t>SSEL</w:t>
                            </w:r>
                            <w:r w:rsidRPr="0030250D">
                              <w:rPr>
                                <w:sz w:val="18"/>
                                <w:szCs w:val="18"/>
                              </w:rPr>
                              <w:t xml:space="preserve">T1. All interacting variables are mean centered. </w:t>
                            </w:r>
                            <w:r>
                              <w:rPr>
                                <w:sz w:val="18"/>
                                <w:szCs w:val="18"/>
                              </w:rPr>
                              <w:t xml:space="preserve">In the legends, Min. Sel. and Max. Sel. denote minimum and maximum values of reseller selection (SSELT1) respectively, and so 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6C9AC" id="Rectangle 184" o:spid="_x0000_s1044" style="position:absolute;left:0;text-align:left;margin-left:-42pt;margin-top:8.9pt;width:495.9pt;height:75.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" stroked="f">
                <v:path arrowok="t"/>
                <v:textbox inset="0,0,0,0">
                  <w:txbxContent>
                    <w:p w14:paraId="575D793A" w14:textId="4771D949" w:rsidR="004A1B6C" w:rsidRPr="0030250D" w:rsidRDefault="004A1B6C" w:rsidP="00B82AFA">
                      <w:pPr>
                        <w:rPr>
                          <w:sz w:val="18"/>
                          <w:szCs w:val="18"/>
                        </w:rPr>
                      </w:pPr>
                      <w:r w:rsidRPr="00727D37">
                        <w:rPr>
                          <w:sz w:val="18"/>
                          <w:szCs w:val="18"/>
                        </w:rPr>
                        <w:t>Notes</w:t>
                      </w:r>
                      <w:r>
                        <w:rPr>
                          <w:sz w:val="18"/>
                          <w:szCs w:val="18"/>
                        </w:rPr>
                        <w:t>:</w:t>
                      </w:r>
                      <w:r w:rsidRPr="00F63D0F">
                        <w:rPr>
                          <w:sz w:val="18"/>
                          <w:szCs w:val="18"/>
                        </w:rPr>
                        <w:t xml:space="preserve"> Slope coefficients for the effect </w:t>
                      </w:r>
                      <w:r w:rsidRPr="00811704">
                        <w:rPr>
                          <w:sz w:val="18"/>
                          <w:szCs w:val="18"/>
                        </w:rPr>
                        <w:t xml:space="preserve">of supplier incremental investments on transaction costs are shown </w:t>
                      </w:r>
                      <w:r>
                        <w:rPr>
                          <w:sz w:val="18"/>
                          <w:szCs w:val="18"/>
                        </w:rPr>
                        <w:t>in this</w:t>
                      </w:r>
                      <w:r w:rsidRPr="00811704">
                        <w:rPr>
                          <w:sz w:val="18"/>
                          <w:szCs w:val="18"/>
                        </w:rPr>
                        <w:t xml:space="preserve"> plot.</w:t>
                      </w:r>
                      <w:r w:rsidRPr="0030250D">
                        <w:rPr>
                          <w:sz w:val="18"/>
                          <w:szCs w:val="18"/>
                        </w:rPr>
                        <w:t xml:space="preserve"> The coefficients are plotted at the minimum (β</w:t>
                      </w:r>
                      <w:r w:rsidRPr="0030250D">
                        <w:rPr>
                          <w:sz w:val="18"/>
                          <w:szCs w:val="18"/>
                          <w:vertAlign w:val="subscript"/>
                        </w:rPr>
                        <w:t>Min</w:t>
                      </w:r>
                      <w:r w:rsidRPr="0030250D">
                        <w:rPr>
                          <w:sz w:val="18"/>
                          <w:szCs w:val="18"/>
                        </w:rPr>
                        <w:t>)</w:t>
                      </w:r>
                      <w:r>
                        <w:rPr>
                          <w:sz w:val="18"/>
                          <w:szCs w:val="18"/>
                        </w:rPr>
                        <w:t>,</w:t>
                      </w:r>
                      <w:r w:rsidRPr="0030250D">
                        <w:rPr>
                          <w:sz w:val="18"/>
                          <w:szCs w:val="18"/>
                        </w:rPr>
                        <w:t xml:space="preserve"> </w:t>
                      </w:r>
                      <w:r>
                        <w:rPr>
                          <w:sz w:val="18"/>
                          <w:szCs w:val="18"/>
                        </w:rPr>
                        <w:t>–</w:t>
                      </w:r>
                      <w:r w:rsidRPr="0030250D">
                        <w:rPr>
                          <w:sz w:val="18"/>
                          <w:szCs w:val="18"/>
                        </w:rPr>
                        <w:t>1SD (β</w:t>
                      </w:r>
                      <w:r>
                        <w:rPr>
                          <w:sz w:val="18"/>
                          <w:szCs w:val="18"/>
                          <w:vertAlign w:val="subscript"/>
                        </w:rPr>
                        <w:t>–</w:t>
                      </w:r>
                      <w:r w:rsidRPr="0030250D">
                        <w:rPr>
                          <w:sz w:val="18"/>
                          <w:szCs w:val="18"/>
                          <w:vertAlign w:val="subscript"/>
                        </w:rPr>
                        <w:t>1SD</w:t>
                      </w:r>
                      <w:r w:rsidRPr="0030250D">
                        <w:rPr>
                          <w:sz w:val="18"/>
                          <w:szCs w:val="18"/>
                        </w:rPr>
                        <w:t>)</w:t>
                      </w:r>
                      <w:r>
                        <w:rPr>
                          <w:sz w:val="18"/>
                          <w:szCs w:val="18"/>
                        </w:rPr>
                        <w:t>, the</w:t>
                      </w:r>
                      <w:r w:rsidRPr="0030250D">
                        <w:rPr>
                          <w:sz w:val="18"/>
                          <w:szCs w:val="18"/>
                        </w:rPr>
                        <w:t xml:space="preserve"> mean (β</w:t>
                      </w:r>
                      <w:r w:rsidRPr="0030250D">
                        <w:rPr>
                          <w:sz w:val="18"/>
                          <w:szCs w:val="18"/>
                          <w:vertAlign w:val="subscript"/>
                        </w:rPr>
                        <w:t>Mean</w:t>
                      </w:r>
                      <w:r w:rsidRPr="0030250D">
                        <w:rPr>
                          <w:sz w:val="18"/>
                          <w:szCs w:val="18"/>
                        </w:rPr>
                        <w:t>)</w:t>
                      </w:r>
                      <w:r>
                        <w:rPr>
                          <w:sz w:val="18"/>
                          <w:szCs w:val="18"/>
                        </w:rPr>
                        <w:t xml:space="preserve">, </w:t>
                      </w:r>
                      <w:r w:rsidRPr="0030250D">
                        <w:rPr>
                          <w:sz w:val="18"/>
                          <w:szCs w:val="18"/>
                        </w:rPr>
                        <w:t>+1SD (β</w:t>
                      </w:r>
                      <w:r>
                        <w:rPr>
                          <w:sz w:val="18"/>
                          <w:szCs w:val="18"/>
                          <w:vertAlign w:val="subscript"/>
                        </w:rPr>
                        <w:t>+</w:t>
                      </w:r>
                      <w:r w:rsidRPr="0030250D">
                        <w:rPr>
                          <w:sz w:val="18"/>
                          <w:szCs w:val="18"/>
                          <w:vertAlign w:val="subscript"/>
                        </w:rPr>
                        <w:t>1SD</w:t>
                      </w:r>
                      <w:r w:rsidRPr="0030250D">
                        <w:rPr>
                          <w:sz w:val="18"/>
                          <w:szCs w:val="18"/>
                        </w:rPr>
                        <w:t>)</w:t>
                      </w:r>
                      <w:r>
                        <w:rPr>
                          <w:sz w:val="18"/>
                          <w:szCs w:val="18"/>
                        </w:rPr>
                        <w:t>,</w:t>
                      </w:r>
                      <w:r w:rsidRPr="0030250D">
                        <w:rPr>
                          <w:sz w:val="18"/>
                          <w:szCs w:val="18"/>
                        </w:rPr>
                        <w:t xml:space="preserve"> and </w:t>
                      </w:r>
                      <w:r>
                        <w:rPr>
                          <w:sz w:val="18"/>
                          <w:szCs w:val="18"/>
                        </w:rPr>
                        <w:t>the</w:t>
                      </w:r>
                      <w:r w:rsidRPr="0030250D">
                        <w:rPr>
                          <w:sz w:val="18"/>
                          <w:szCs w:val="18"/>
                        </w:rPr>
                        <w:t xml:space="preserve"> maximum (β</w:t>
                      </w:r>
                      <w:r w:rsidRPr="0030250D">
                        <w:rPr>
                          <w:sz w:val="18"/>
                          <w:szCs w:val="18"/>
                          <w:vertAlign w:val="subscript"/>
                        </w:rPr>
                        <w:t>Max</w:t>
                      </w:r>
                      <w:r w:rsidRPr="0030250D">
                        <w:rPr>
                          <w:sz w:val="18"/>
                          <w:szCs w:val="18"/>
                        </w:rPr>
                        <w:t>) value</w:t>
                      </w:r>
                      <w:r>
                        <w:rPr>
                          <w:sz w:val="18"/>
                          <w:szCs w:val="18"/>
                        </w:rPr>
                        <w:t>s</w:t>
                      </w:r>
                      <w:r w:rsidRPr="0030250D">
                        <w:rPr>
                          <w:sz w:val="18"/>
                          <w:szCs w:val="18"/>
                        </w:rPr>
                        <w:t xml:space="preserve"> of </w:t>
                      </w:r>
                      <w:r>
                        <w:rPr>
                          <w:sz w:val="18"/>
                          <w:szCs w:val="18"/>
                        </w:rPr>
                        <w:t xml:space="preserve">mutual asymmetric </w:t>
                      </w:r>
                      <w:r w:rsidRPr="0030250D">
                        <w:rPr>
                          <w:sz w:val="18"/>
                          <w:szCs w:val="18"/>
                        </w:rPr>
                        <w:t>investments in the supplier’s favor</w:t>
                      </w:r>
                      <w:r w:rsidRPr="0030250D" w:rsidDel="00FD23C2">
                        <w:rPr>
                          <w:sz w:val="18"/>
                          <w:szCs w:val="18"/>
                        </w:rPr>
                        <w:t xml:space="preserve"> </w:t>
                      </w:r>
                      <w:r w:rsidRPr="0030250D">
                        <w:rPr>
                          <w:sz w:val="18"/>
                          <w:szCs w:val="18"/>
                        </w:rPr>
                        <w:t>(</w:t>
                      </w:r>
                      <w:r w:rsidRPr="005D7CD7">
                        <w:rPr>
                          <w:sz w:val="18"/>
                          <w:szCs w:val="18"/>
                        </w:rPr>
                        <w:t>INVDIFF), for various fixed lev</w:t>
                      </w:r>
                      <w:r w:rsidRPr="00F63D0F">
                        <w:rPr>
                          <w:sz w:val="18"/>
                          <w:szCs w:val="18"/>
                        </w:rPr>
                        <w:t>els of</w:t>
                      </w:r>
                      <w:r>
                        <w:rPr>
                          <w:sz w:val="18"/>
                          <w:szCs w:val="18"/>
                        </w:rPr>
                        <w:t xml:space="preserve"> initial</w:t>
                      </w:r>
                      <w:r w:rsidRPr="00F63D0F">
                        <w:rPr>
                          <w:sz w:val="18"/>
                          <w:szCs w:val="18"/>
                        </w:rPr>
                        <w:t xml:space="preserve"> reseller </w:t>
                      </w:r>
                      <w:r>
                        <w:rPr>
                          <w:sz w:val="18"/>
                          <w:szCs w:val="18"/>
                        </w:rPr>
                        <w:t>selection</w:t>
                      </w:r>
                      <w:r w:rsidRPr="00F63D0F">
                        <w:rPr>
                          <w:sz w:val="18"/>
                          <w:szCs w:val="18"/>
                        </w:rPr>
                        <w:t xml:space="preserve"> (</w:t>
                      </w:r>
                      <w:r>
                        <w:rPr>
                          <w:sz w:val="18"/>
                          <w:szCs w:val="18"/>
                        </w:rPr>
                        <w:t>SSEL</w:t>
                      </w:r>
                      <w:r w:rsidRPr="00F63D0F">
                        <w:rPr>
                          <w:sz w:val="18"/>
                          <w:szCs w:val="18"/>
                        </w:rPr>
                        <w:t xml:space="preserve">T1). The minimum, </w:t>
                      </w:r>
                      <w:r>
                        <w:rPr>
                          <w:sz w:val="18"/>
                          <w:szCs w:val="18"/>
                        </w:rPr>
                        <w:t>–</w:t>
                      </w:r>
                      <w:r w:rsidRPr="00F63D0F">
                        <w:rPr>
                          <w:sz w:val="18"/>
                          <w:szCs w:val="18"/>
                        </w:rPr>
                        <w:t xml:space="preserve">1SD, mean, +1SD and maximum values of INVDIFF at which the slope values </w:t>
                      </w:r>
                      <w:r w:rsidRPr="00811704">
                        <w:rPr>
                          <w:sz w:val="18"/>
                          <w:szCs w:val="18"/>
                        </w:rPr>
                        <w:t>are plotted are</w:t>
                      </w:r>
                      <w:r w:rsidRPr="0030250D">
                        <w:rPr>
                          <w:sz w:val="18"/>
                          <w:szCs w:val="18"/>
                        </w:rPr>
                        <w:t xml:space="preserve"> </w:t>
                      </w:r>
                      <w:r>
                        <w:rPr>
                          <w:sz w:val="18"/>
                          <w:szCs w:val="18"/>
                        </w:rPr>
                        <w:t>–</w:t>
                      </w:r>
                      <w:r w:rsidRPr="0030250D">
                        <w:rPr>
                          <w:sz w:val="18"/>
                          <w:szCs w:val="18"/>
                        </w:rPr>
                        <w:t xml:space="preserve">3.01, </w:t>
                      </w:r>
                      <w:r>
                        <w:rPr>
                          <w:sz w:val="18"/>
                          <w:szCs w:val="18"/>
                        </w:rPr>
                        <w:t>–</w:t>
                      </w:r>
                      <w:r w:rsidRPr="0030250D">
                        <w:rPr>
                          <w:sz w:val="18"/>
                          <w:szCs w:val="18"/>
                        </w:rPr>
                        <w:t>.91, 0</w:t>
                      </w:r>
                      <w:r>
                        <w:rPr>
                          <w:sz w:val="18"/>
                          <w:szCs w:val="18"/>
                        </w:rPr>
                        <w:t xml:space="preserve">, </w:t>
                      </w:r>
                      <w:r w:rsidRPr="0030250D">
                        <w:rPr>
                          <w:sz w:val="18"/>
                          <w:szCs w:val="18"/>
                        </w:rPr>
                        <w:t>.91, and 2.11</w:t>
                      </w:r>
                      <w:r>
                        <w:rPr>
                          <w:sz w:val="18"/>
                          <w:szCs w:val="18"/>
                        </w:rPr>
                        <w:t xml:space="preserve">, respectively. </w:t>
                      </w:r>
                      <w:r w:rsidRPr="0030250D">
                        <w:rPr>
                          <w:sz w:val="18"/>
                          <w:szCs w:val="18"/>
                        </w:rPr>
                        <w:t xml:space="preserve">There are five different lines, one for each level of </w:t>
                      </w:r>
                      <w:r>
                        <w:rPr>
                          <w:sz w:val="18"/>
                          <w:szCs w:val="18"/>
                        </w:rPr>
                        <w:t>SSEL</w:t>
                      </w:r>
                      <w:r w:rsidRPr="0030250D">
                        <w:rPr>
                          <w:sz w:val="18"/>
                          <w:szCs w:val="18"/>
                        </w:rPr>
                        <w:t xml:space="preserve">T1. All interacting variables are mean centered. </w:t>
                      </w:r>
                      <w:r>
                        <w:rPr>
                          <w:sz w:val="18"/>
                          <w:szCs w:val="18"/>
                        </w:rPr>
                        <w:t xml:space="preserve">In the legends, Min. Sel. and Max. Sel. denote minimum and maximum values of reseller selection (SSELT1) respectively, and so on. </w:t>
                      </w:r>
                    </w:p>
                  </w:txbxContent>
                </v:textbox>
              </v:rect>
            </w:pict>
          </mc:Fallback>
        </mc:AlternateContent>
      </w:r>
    </w:p>
    <w:p w14:paraId="6C4B6C89" w14:textId="77777777" w:rsidR="00E17A7C" w:rsidRPr="00605672" w:rsidRDefault="00E17A7C" w:rsidP="00A71D0F">
      <w:pPr>
        <w:ind w:left="567" w:hanging="1017"/>
        <w:rPr>
          <w:b/>
          <w:sz w:val="18"/>
          <w:szCs w:val="18"/>
        </w:rPr>
      </w:pPr>
    </w:p>
    <w:p w14:paraId="248FB211" w14:textId="77777777" w:rsidR="00E17A7C" w:rsidRPr="00605672" w:rsidRDefault="00E17A7C" w:rsidP="00A71D0F">
      <w:pPr>
        <w:ind w:left="567" w:hanging="1017"/>
        <w:rPr>
          <w:b/>
          <w:sz w:val="18"/>
          <w:szCs w:val="18"/>
        </w:rPr>
      </w:pPr>
    </w:p>
    <w:p w14:paraId="37AEF80A" w14:textId="77777777" w:rsidR="00E17A7C" w:rsidRPr="00605672" w:rsidRDefault="00E17A7C" w:rsidP="00A71D0F">
      <w:pPr>
        <w:ind w:left="567" w:hanging="1017"/>
        <w:rPr>
          <w:b/>
          <w:sz w:val="18"/>
          <w:szCs w:val="18"/>
        </w:rPr>
      </w:pPr>
    </w:p>
    <w:p w14:paraId="4E6E6482" w14:textId="77777777" w:rsidR="00E17A7C" w:rsidRPr="00605672" w:rsidRDefault="00E17A7C" w:rsidP="00A71D0F">
      <w:pPr>
        <w:ind w:left="567" w:hanging="1017"/>
        <w:rPr>
          <w:b/>
          <w:sz w:val="18"/>
          <w:szCs w:val="18"/>
        </w:rPr>
      </w:pPr>
    </w:p>
    <w:p w14:paraId="7C12B700" w14:textId="77777777" w:rsidR="00E17A7C" w:rsidRPr="00605672" w:rsidRDefault="00E17A7C" w:rsidP="00A71D0F">
      <w:pPr>
        <w:ind w:left="567" w:hanging="1017"/>
        <w:rPr>
          <w:b/>
          <w:sz w:val="18"/>
          <w:szCs w:val="18"/>
        </w:rPr>
      </w:pPr>
    </w:p>
    <w:p w14:paraId="75036ACA" w14:textId="77777777" w:rsidR="00E17A7C" w:rsidRPr="00605672" w:rsidRDefault="00E17A7C" w:rsidP="00A71D0F">
      <w:pPr>
        <w:ind w:left="567" w:hanging="1017"/>
        <w:rPr>
          <w:b/>
          <w:sz w:val="18"/>
          <w:szCs w:val="18"/>
        </w:rPr>
      </w:pPr>
    </w:p>
    <w:p w14:paraId="1F24C7E3" w14:textId="77777777" w:rsidR="00E17A7C" w:rsidRPr="00605672" w:rsidRDefault="00E17A7C" w:rsidP="00A71D0F">
      <w:pPr>
        <w:ind w:left="567" w:hanging="1017"/>
        <w:rPr>
          <w:b/>
          <w:sz w:val="18"/>
          <w:szCs w:val="18"/>
        </w:rPr>
      </w:pPr>
    </w:p>
    <w:p w14:paraId="611516B8" w14:textId="77777777" w:rsidR="00E17A7C" w:rsidRPr="00605672" w:rsidRDefault="00E17A7C" w:rsidP="00A71D0F">
      <w:pPr>
        <w:ind w:left="567" w:hanging="1017"/>
        <w:rPr>
          <w:b/>
          <w:sz w:val="18"/>
          <w:szCs w:val="18"/>
        </w:rPr>
      </w:pPr>
    </w:p>
    <w:p w14:paraId="01158716" w14:textId="77777777" w:rsidR="00E17A7C" w:rsidRPr="00605672" w:rsidRDefault="00E17A7C" w:rsidP="00A71D0F">
      <w:pPr>
        <w:ind w:left="567" w:hanging="1017"/>
        <w:rPr>
          <w:b/>
          <w:sz w:val="18"/>
          <w:szCs w:val="18"/>
        </w:rPr>
      </w:pPr>
    </w:p>
    <w:p w14:paraId="31EBFC3C" w14:textId="77777777" w:rsidR="004436B3" w:rsidRPr="00605672" w:rsidRDefault="004436B3" w:rsidP="00A71D0F">
      <w:pPr>
        <w:ind w:left="567" w:hanging="1017"/>
        <w:rPr>
          <w:b/>
          <w:sz w:val="18"/>
          <w:szCs w:val="18"/>
        </w:rPr>
      </w:pPr>
    </w:p>
    <w:p w14:paraId="453847D7" w14:textId="77777777" w:rsidR="004436B3" w:rsidRPr="00605672" w:rsidRDefault="004436B3" w:rsidP="00A71D0F">
      <w:pPr>
        <w:ind w:left="567" w:hanging="1017"/>
        <w:rPr>
          <w:b/>
          <w:sz w:val="18"/>
          <w:szCs w:val="18"/>
        </w:rPr>
      </w:pPr>
    </w:p>
    <w:p w14:paraId="1B28D15F" w14:textId="77777777" w:rsidR="004436B3" w:rsidRPr="00605672" w:rsidRDefault="004436B3" w:rsidP="00A71D0F">
      <w:pPr>
        <w:ind w:left="567" w:hanging="1017"/>
        <w:rPr>
          <w:b/>
          <w:sz w:val="18"/>
          <w:szCs w:val="18"/>
        </w:rPr>
        <w:sectPr w:rsidR="004436B3" w:rsidRPr="00605672" w:rsidSect="00975618">
          <w:pgSz w:w="12240" w:h="15840"/>
          <w:pgMar w:top="1440" w:right="1440" w:bottom="1440" w:left="1440" w:header="720" w:footer="720" w:gutter="0"/>
          <w:cols w:space="720"/>
          <w:docGrid w:linePitch="360"/>
        </w:sectPr>
      </w:pPr>
    </w:p>
    <w:p w14:paraId="07F4E59C" w14:textId="77777777" w:rsidR="007760A3" w:rsidRPr="00605672" w:rsidRDefault="008C4568" w:rsidP="007760A3">
      <w:pPr>
        <w:autoSpaceDE w:val="0"/>
        <w:autoSpaceDN w:val="0"/>
        <w:adjustRightInd w:val="0"/>
        <w:jc w:val="center"/>
        <w:rPr>
          <w:b/>
          <w:bCs/>
        </w:rPr>
      </w:pPr>
      <w:r w:rsidRPr="00605672">
        <w:rPr>
          <w:b/>
          <w:bCs/>
        </w:rPr>
        <w:lastRenderedPageBreak/>
        <w:t>A</w:t>
      </w:r>
      <w:r w:rsidR="007760A3" w:rsidRPr="00605672">
        <w:rPr>
          <w:b/>
          <w:bCs/>
        </w:rPr>
        <w:t>ppendix</w:t>
      </w:r>
    </w:p>
    <w:p w14:paraId="591938B5" w14:textId="77777777" w:rsidR="007760A3" w:rsidRPr="00605672" w:rsidRDefault="007760A3" w:rsidP="007760A3">
      <w:pPr>
        <w:jc w:val="center"/>
        <w:rPr>
          <w:i/>
        </w:rPr>
      </w:pPr>
      <w:r w:rsidRPr="00605672">
        <w:rPr>
          <w:b/>
          <w:bCs/>
        </w:rPr>
        <w:t>Response Formats and Scale Items</w:t>
      </w:r>
    </w:p>
    <w:p w14:paraId="37A169F2" w14:textId="77777777" w:rsidR="007760A3" w:rsidRPr="00605672" w:rsidRDefault="007760A3" w:rsidP="007760A3">
      <w:pPr>
        <w:rPr>
          <w:i/>
        </w:rPr>
      </w:pPr>
    </w:p>
    <w:p w14:paraId="466A3BDC" w14:textId="77777777" w:rsidR="007760A3" w:rsidRPr="00605672" w:rsidRDefault="007760A3" w:rsidP="00A3692F">
      <w:r w:rsidRPr="00605672">
        <w:rPr>
          <w:i/>
        </w:rPr>
        <w:t xml:space="preserve">Ex Post Transaction Costs </w:t>
      </w:r>
      <w:r w:rsidRPr="00605672">
        <w:t>(</w:t>
      </w:r>
      <w:r w:rsidR="00756B07" w:rsidRPr="00605672">
        <w:t>STCT2</w:t>
      </w:r>
      <w:r w:rsidRPr="00605672">
        <w:t xml:space="preserve">, </w:t>
      </w:r>
      <w:r w:rsidRPr="00605672">
        <w:rPr>
          <w:i/>
        </w:rPr>
        <w:t>Time 2, Supplier</w:t>
      </w:r>
      <w:r w:rsidRPr="00605672">
        <w:t>)</w:t>
      </w:r>
    </w:p>
    <w:p w14:paraId="748743AE" w14:textId="7BC938E1" w:rsidR="007760A3" w:rsidRPr="00605672" w:rsidRDefault="007760A3" w:rsidP="00A3692F">
      <w:r w:rsidRPr="00605672">
        <w:t>(CR =</w:t>
      </w:r>
      <w:r w:rsidR="00720ED9">
        <w:t xml:space="preserve"> </w:t>
      </w:r>
      <w:r w:rsidRPr="00605672">
        <w:t>.</w:t>
      </w:r>
      <w:r w:rsidR="00FD2A25" w:rsidRPr="00605672">
        <w:t>943</w:t>
      </w:r>
      <w:r w:rsidRPr="00605672">
        <w:t>)</w:t>
      </w:r>
    </w:p>
    <w:p w14:paraId="043C6579" w14:textId="581596B1" w:rsidR="007760A3" w:rsidRPr="00605672" w:rsidRDefault="00720ED9" w:rsidP="00A3692F">
      <w:r>
        <w:t>“</w:t>
      </w:r>
      <w:r w:rsidR="007760A3" w:rsidRPr="00605672">
        <w:t>Please evaluate the following statements by circling the most appropriate number on the scale.</w:t>
      </w:r>
      <w:r>
        <w:t>”</w:t>
      </w:r>
      <w:r w:rsidR="007760A3" w:rsidRPr="00605672">
        <w:t xml:space="preserve"> </w:t>
      </w:r>
      <w:r>
        <w:t>(</w:t>
      </w:r>
      <w:r w:rsidR="007760A3" w:rsidRPr="00605672">
        <w:t>Seven-point scale: “completely inaccurate description</w:t>
      </w:r>
      <w:r>
        <w:t>–</w:t>
      </w:r>
      <w:r w:rsidR="007760A3" w:rsidRPr="00605672">
        <w:t>completely accurate description”</w:t>
      </w:r>
      <w:r>
        <w:t>)</w:t>
      </w:r>
      <w:r w:rsidR="007760A3" w:rsidRPr="00605672">
        <w:t xml:space="preserve"> </w:t>
      </w:r>
    </w:p>
    <w:p w14:paraId="1C0D7ECB" w14:textId="77777777" w:rsidR="007760A3" w:rsidRPr="00605672" w:rsidRDefault="00485DA6" w:rsidP="00FB3B98">
      <w:pPr>
        <w:ind w:left="360" w:hanging="360"/>
      </w:pPr>
      <w:r w:rsidRPr="00605672">
        <w:t>1</w:t>
      </w:r>
      <w:r w:rsidR="007760A3" w:rsidRPr="00605672">
        <w:t>.</w:t>
      </w:r>
      <w:r w:rsidR="007760A3" w:rsidRPr="00605672">
        <w:tab/>
        <w:t>We spend considerable time making sure the customer does what we have agreed to.</w:t>
      </w:r>
    </w:p>
    <w:p w14:paraId="4CC5EF30" w14:textId="77777777" w:rsidR="007760A3" w:rsidRPr="00605672" w:rsidRDefault="00485DA6" w:rsidP="00FB3B98">
      <w:pPr>
        <w:ind w:left="360" w:hanging="360"/>
      </w:pPr>
      <w:r w:rsidRPr="00605672">
        <w:t>2</w:t>
      </w:r>
      <w:r w:rsidR="007760A3" w:rsidRPr="00605672">
        <w:t>.</w:t>
      </w:r>
      <w:r w:rsidR="007760A3" w:rsidRPr="00605672">
        <w:tab/>
        <w:t>We spend considerable time making sure the customer fulfills our agreements.</w:t>
      </w:r>
    </w:p>
    <w:p w14:paraId="6075DC2D" w14:textId="77777777" w:rsidR="007760A3" w:rsidRPr="00605672" w:rsidRDefault="00485DA6" w:rsidP="00FB3B98">
      <w:pPr>
        <w:ind w:left="360" w:hanging="360"/>
      </w:pPr>
      <w:r w:rsidRPr="00605672">
        <w:t>3</w:t>
      </w:r>
      <w:r w:rsidR="007760A3" w:rsidRPr="00605672">
        <w:t>.</w:t>
      </w:r>
      <w:r w:rsidR="007760A3" w:rsidRPr="00605672">
        <w:tab/>
        <w:t>We spend considerable time monitoring the customer.</w:t>
      </w:r>
    </w:p>
    <w:p w14:paraId="248C9F17" w14:textId="77777777" w:rsidR="007760A3" w:rsidRPr="00605672" w:rsidRDefault="00485DA6" w:rsidP="00FB3B98">
      <w:pPr>
        <w:ind w:left="360" w:hanging="360"/>
      </w:pPr>
      <w:r w:rsidRPr="00605672">
        <w:t>4</w:t>
      </w:r>
      <w:r w:rsidR="007760A3" w:rsidRPr="00605672">
        <w:t>.</w:t>
      </w:r>
      <w:r w:rsidR="007760A3" w:rsidRPr="00605672">
        <w:tab/>
        <w:t>We spend considerable time making this customer respond to our requests for changes.</w:t>
      </w:r>
    </w:p>
    <w:p w14:paraId="41BFE8AE" w14:textId="77777777" w:rsidR="007760A3" w:rsidRPr="00605672" w:rsidRDefault="00485DA6" w:rsidP="00FB3B98">
      <w:pPr>
        <w:ind w:left="360" w:hanging="360"/>
      </w:pPr>
      <w:r w:rsidRPr="00605672">
        <w:t>5</w:t>
      </w:r>
      <w:r w:rsidR="007760A3" w:rsidRPr="00605672">
        <w:t>.</w:t>
      </w:r>
      <w:r w:rsidR="007760A3" w:rsidRPr="00605672">
        <w:tab/>
        <w:t>In this relationship, we spend considerable time on correcting customer mistakes.</w:t>
      </w:r>
    </w:p>
    <w:p w14:paraId="7A4E454E" w14:textId="77777777" w:rsidR="007760A3" w:rsidRPr="00605672" w:rsidRDefault="00485DA6" w:rsidP="00FB3B98">
      <w:pPr>
        <w:ind w:left="360" w:hanging="360"/>
      </w:pPr>
      <w:r w:rsidRPr="00605672">
        <w:t>6</w:t>
      </w:r>
      <w:r w:rsidR="007760A3" w:rsidRPr="00605672">
        <w:t>.</w:t>
      </w:r>
      <w:r w:rsidR="007760A3" w:rsidRPr="00605672">
        <w:tab/>
        <w:t>We spend considerable time on re-negotiating terms with this customer.</w:t>
      </w:r>
    </w:p>
    <w:p w14:paraId="27C5C955" w14:textId="77777777" w:rsidR="007760A3" w:rsidRPr="00605672" w:rsidRDefault="00485DA6" w:rsidP="00FB3B98">
      <w:pPr>
        <w:ind w:left="360" w:hanging="360"/>
      </w:pPr>
      <w:r w:rsidRPr="00605672">
        <w:t>7</w:t>
      </w:r>
      <w:r w:rsidR="007760A3" w:rsidRPr="00605672">
        <w:t>.</w:t>
      </w:r>
      <w:r w:rsidR="007760A3" w:rsidRPr="00605672">
        <w:tab/>
        <w:t>We spend a substantial amount of time and effort on settling disputes with this customer.</w:t>
      </w:r>
    </w:p>
    <w:p w14:paraId="69C98F6D" w14:textId="77777777" w:rsidR="00F60381" w:rsidRPr="00605672" w:rsidRDefault="00F60381" w:rsidP="00A3692F">
      <w:pPr>
        <w:tabs>
          <w:tab w:val="center" w:pos="4680"/>
        </w:tabs>
      </w:pPr>
    </w:p>
    <w:p w14:paraId="749048B9" w14:textId="77777777" w:rsidR="007760A3" w:rsidRPr="00605672" w:rsidRDefault="007760A3" w:rsidP="00A3692F">
      <w:pPr>
        <w:tabs>
          <w:tab w:val="center" w:pos="4680"/>
        </w:tabs>
        <w:rPr>
          <w:i/>
        </w:rPr>
      </w:pPr>
      <w:r w:rsidRPr="00605672">
        <w:rPr>
          <w:i/>
        </w:rPr>
        <w:t xml:space="preserve">Supplier Incremental Investments </w:t>
      </w:r>
      <w:r w:rsidRPr="00605672">
        <w:t>(</w:t>
      </w:r>
      <w:r w:rsidR="00C01960" w:rsidRPr="00605672">
        <w:rPr>
          <w:color w:val="000000"/>
        </w:rPr>
        <w:t>SINVT2</w:t>
      </w:r>
      <w:r w:rsidRPr="00605672">
        <w:rPr>
          <w:color w:val="000000"/>
        </w:rPr>
        <w:t xml:space="preserve">, </w:t>
      </w:r>
      <w:r w:rsidRPr="00605672">
        <w:rPr>
          <w:i/>
        </w:rPr>
        <w:t>Time 2, Supplier</w:t>
      </w:r>
      <w:r w:rsidRPr="00605672">
        <w:t>)</w:t>
      </w:r>
    </w:p>
    <w:p w14:paraId="5E42D246" w14:textId="542E32CA" w:rsidR="007760A3" w:rsidRPr="00605672" w:rsidRDefault="007760A3" w:rsidP="00A3692F">
      <w:r w:rsidRPr="00605672">
        <w:t>(CR =</w:t>
      </w:r>
      <w:r w:rsidR="00720ED9">
        <w:t xml:space="preserve"> </w:t>
      </w:r>
      <w:r w:rsidRPr="00605672">
        <w:t>.899)</w:t>
      </w:r>
    </w:p>
    <w:p w14:paraId="4489A504" w14:textId="722CED80" w:rsidR="007760A3" w:rsidRPr="00605672" w:rsidRDefault="00720ED9" w:rsidP="00A3692F">
      <w:r>
        <w:t>“</w:t>
      </w:r>
      <w:r w:rsidR="007760A3" w:rsidRPr="00605672">
        <w:t>These questions deal with investments made by your company DURING THE LAST THREE YEARS in the relationship with the customer. Please evaluate the following statements by circling the most appropriate number on the scale.</w:t>
      </w:r>
      <w:r>
        <w:t>”</w:t>
      </w:r>
      <w:r w:rsidR="007760A3" w:rsidRPr="00605672">
        <w:t xml:space="preserve"> </w:t>
      </w:r>
      <w:r>
        <w:t>(</w:t>
      </w:r>
      <w:r w:rsidR="007760A3" w:rsidRPr="00605672">
        <w:t>Seven-point scale: “completely inaccurate description</w:t>
      </w:r>
      <w:r>
        <w:t>–</w:t>
      </w:r>
      <w:r w:rsidR="007760A3" w:rsidRPr="00605672">
        <w:t>completely accurate description”</w:t>
      </w:r>
      <w:r>
        <w:t>)</w:t>
      </w:r>
      <w:r w:rsidR="007760A3" w:rsidRPr="00605672">
        <w:t xml:space="preserve"> </w:t>
      </w:r>
    </w:p>
    <w:p w14:paraId="6F8C5F45" w14:textId="77777777" w:rsidR="007760A3" w:rsidRPr="00605672" w:rsidRDefault="007760A3" w:rsidP="00FB3B98">
      <w:pPr>
        <w:ind w:left="360" w:hanging="360"/>
      </w:pPr>
      <w:r w:rsidRPr="00605672">
        <w:t>1.</w:t>
      </w:r>
      <w:r w:rsidRPr="00605672">
        <w:tab/>
        <w:t xml:space="preserve">Training our employees to deal with this customer has involved substantial commitments of time and money over the past three years. </w:t>
      </w:r>
    </w:p>
    <w:p w14:paraId="772FCB94" w14:textId="77777777" w:rsidR="007760A3" w:rsidRPr="00605672" w:rsidRDefault="007760A3" w:rsidP="00FB3B98">
      <w:pPr>
        <w:ind w:left="360" w:hanging="360"/>
      </w:pPr>
      <w:r w:rsidRPr="00605672">
        <w:t>2.</w:t>
      </w:r>
      <w:r w:rsidRPr="00605672">
        <w:tab/>
        <w:t>Our production systems have been changed over the past three years to satisfy the requirements of this customer.</w:t>
      </w:r>
    </w:p>
    <w:p w14:paraId="7FA1F428" w14:textId="77777777" w:rsidR="007760A3" w:rsidRPr="00605672" w:rsidRDefault="007760A3" w:rsidP="00FB3B98">
      <w:pPr>
        <w:ind w:left="360" w:hanging="360"/>
      </w:pPr>
      <w:r w:rsidRPr="00605672">
        <w:t>3.</w:t>
      </w:r>
      <w:r w:rsidRPr="00605672">
        <w:tab/>
        <w:t>We have made significant adjustments in our logistics systems to better serve this customer over the past three years.</w:t>
      </w:r>
    </w:p>
    <w:p w14:paraId="0320AB6E" w14:textId="77777777" w:rsidR="007760A3" w:rsidRPr="00605672" w:rsidRDefault="007760A3" w:rsidP="00A3692F"/>
    <w:p w14:paraId="175D490B" w14:textId="77777777" w:rsidR="00286164" w:rsidRPr="00605672" w:rsidRDefault="00286164" w:rsidP="00286164">
      <w:pPr>
        <w:rPr>
          <w:i/>
        </w:rPr>
      </w:pPr>
      <w:r w:rsidRPr="00605672">
        <w:rPr>
          <w:i/>
        </w:rPr>
        <w:t xml:space="preserve">Reseller </w:t>
      </w:r>
      <w:r w:rsidR="006978DC" w:rsidRPr="00605672">
        <w:rPr>
          <w:i/>
        </w:rPr>
        <w:t xml:space="preserve">Incremental Investments </w:t>
      </w:r>
      <w:r w:rsidRPr="00605672">
        <w:t>(</w:t>
      </w:r>
      <w:r w:rsidR="00C01960" w:rsidRPr="00605672">
        <w:rPr>
          <w:color w:val="000000"/>
        </w:rPr>
        <w:t>RINVT2</w:t>
      </w:r>
      <w:r w:rsidRPr="00605672">
        <w:rPr>
          <w:color w:val="000000"/>
        </w:rPr>
        <w:t xml:space="preserve">, </w:t>
      </w:r>
      <w:r w:rsidRPr="00605672">
        <w:rPr>
          <w:i/>
        </w:rPr>
        <w:t>Time 2, Supplier</w:t>
      </w:r>
      <w:r w:rsidRPr="00605672">
        <w:t>)</w:t>
      </w:r>
    </w:p>
    <w:p w14:paraId="70C7F9AC" w14:textId="5BC9C5BA" w:rsidR="00286164" w:rsidRPr="00605672" w:rsidRDefault="00286164" w:rsidP="00286164">
      <w:r w:rsidRPr="00605672">
        <w:t>(CR</w:t>
      </w:r>
      <w:r w:rsidR="00720ED9">
        <w:t xml:space="preserve"> </w:t>
      </w:r>
      <w:r w:rsidRPr="00605672">
        <w:t>=</w:t>
      </w:r>
      <w:r w:rsidR="00720ED9">
        <w:t xml:space="preserve"> </w:t>
      </w:r>
      <w:r w:rsidRPr="00605672">
        <w:t>.909)</w:t>
      </w:r>
    </w:p>
    <w:p w14:paraId="42C221B0" w14:textId="0C9EFD11" w:rsidR="00286164" w:rsidRPr="00605672" w:rsidRDefault="00720ED9" w:rsidP="00286164">
      <w:r>
        <w:t>“</w:t>
      </w:r>
      <w:r w:rsidR="00286164" w:rsidRPr="00605672">
        <w:t>These questions deal with investments made by the customer DURING THE LAST THREE YEARS in the relationship with your company. Please evaluate the following statements by circling the most appropriate number on the scale.</w:t>
      </w:r>
      <w:r>
        <w:t>”</w:t>
      </w:r>
      <w:r w:rsidR="00286164" w:rsidRPr="00605672">
        <w:t xml:space="preserve"> </w:t>
      </w:r>
      <w:r>
        <w:t>(</w:t>
      </w:r>
      <w:r w:rsidR="00286164" w:rsidRPr="00605672">
        <w:t>Seven-point scale: “completely inaccurate description</w:t>
      </w:r>
      <w:r>
        <w:t>–</w:t>
      </w:r>
      <w:r w:rsidR="00286164" w:rsidRPr="00605672">
        <w:t>completely accurate description”</w:t>
      </w:r>
      <w:r>
        <w:t>)</w:t>
      </w:r>
    </w:p>
    <w:p w14:paraId="2C932D7D" w14:textId="77777777" w:rsidR="00286164" w:rsidRPr="00605672" w:rsidRDefault="00286164" w:rsidP="00286164">
      <w:pPr>
        <w:ind w:left="360" w:hanging="360"/>
      </w:pPr>
      <w:r w:rsidRPr="00605672">
        <w:t>1.</w:t>
      </w:r>
      <w:r w:rsidRPr="00605672">
        <w:tab/>
        <w:t>This customer has made significant investments in equipment dedicated to the relationship with our company.</w:t>
      </w:r>
    </w:p>
    <w:p w14:paraId="2544D201" w14:textId="77777777" w:rsidR="00286164" w:rsidRPr="00605672" w:rsidRDefault="00286164" w:rsidP="00286164">
      <w:pPr>
        <w:ind w:left="360" w:hanging="360"/>
      </w:pPr>
      <w:r w:rsidRPr="00605672">
        <w:t>2.</w:t>
      </w:r>
      <w:r w:rsidRPr="00605672">
        <w:tab/>
        <w:t>This customer has made extensive internal adjustments in order to deal effectively with our company.</w:t>
      </w:r>
    </w:p>
    <w:p w14:paraId="5C392FAD" w14:textId="77777777" w:rsidR="00286164" w:rsidRPr="00605672" w:rsidRDefault="00286164" w:rsidP="00286164">
      <w:pPr>
        <w:ind w:left="360" w:hanging="360"/>
      </w:pPr>
      <w:r w:rsidRPr="00605672">
        <w:t>3.</w:t>
      </w:r>
      <w:r w:rsidRPr="00605672">
        <w:tab/>
        <w:t>Training their employees to deal with our company has involved substantial commitments of time and money on the part of this customer.</w:t>
      </w:r>
    </w:p>
    <w:p w14:paraId="18E6EC59" w14:textId="77777777" w:rsidR="001E4858" w:rsidRPr="00605672" w:rsidRDefault="00286164" w:rsidP="001E4858">
      <w:pPr>
        <w:ind w:left="360" w:hanging="360"/>
      </w:pPr>
      <w:r w:rsidRPr="00605672">
        <w:t>4.</w:t>
      </w:r>
      <w:r w:rsidRPr="00605672">
        <w:tab/>
        <w:t>The customer’s logistics systems have been tailored to meet the requirements of our company.</w:t>
      </w:r>
    </w:p>
    <w:p w14:paraId="6E05C668" w14:textId="77777777" w:rsidR="00286164" w:rsidRPr="00605672" w:rsidRDefault="00286164" w:rsidP="00A3692F"/>
    <w:p w14:paraId="6E9966D5" w14:textId="77777777" w:rsidR="00286164" w:rsidRPr="00605672" w:rsidRDefault="00286164" w:rsidP="00286164">
      <w:r w:rsidRPr="00605672">
        <w:rPr>
          <w:i/>
        </w:rPr>
        <w:t xml:space="preserve">Supplier Investments at Time 1 </w:t>
      </w:r>
      <w:r w:rsidRPr="00605672">
        <w:t>(</w:t>
      </w:r>
      <w:r w:rsidR="00C01960" w:rsidRPr="00605672">
        <w:rPr>
          <w:color w:val="000000"/>
        </w:rPr>
        <w:t>SINVT1</w:t>
      </w:r>
      <w:r w:rsidRPr="00605672">
        <w:rPr>
          <w:color w:val="000000"/>
        </w:rPr>
        <w:t xml:space="preserve">, </w:t>
      </w:r>
      <w:r w:rsidRPr="00605672">
        <w:rPr>
          <w:i/>
          <w:color w:val="000000"/>
        </w:rPr>
        <w:t>Time 1</w:t>
      </w:r>
      <w:r w:rsidRPr="00605672">
        <w:rPr>
          <w:color w:val="000000"/>
        </w:rPr>
        <w:t xml:space="preserve">, </w:t>
      </w:r>
      <w:r w:rsidRPr="00605672">
        <w:rPr>
          <w:i/>
          <w:color w:val="000000"/>
        </w:rPr>
        <w:t>Supplier</w:t>
      </w:r>
      <w:r w:rsidRPr="00605672">
        <w:rPr>
          <w:color w:val="000000"/>
        </w:rPr>
        <w:t>)</w:t>
      </w:r>
    </w:p>
    <w:p w14:paraId="0E0AFEAE" w14:textId="40D252E4" w:rsidR="00286164" w:rsidRPr="00605672" w:rsidRDefault="00286164" w:rsidP="00286164">
      <w:r w:rsidRPr="00605672">
        <w:t>(CR =</w:t>
      </w:r>
      <w:r w:rsidR="00720ED9">
        <w:t xml:space="preserve"> </w:t>
      </w:r>
      <w:r w:rsidRPr="00605672">
        <w:t>.78</w:t>
      </w:r>
      <w:r w:rsidR="00CB1228" w:rsidRPr="00605672">
        <w:t>2</w:t>
      </w:r>
      <w:r w:rsidRPr="00605672">
        <w:t>)</w:t>
      </w:r>
    </w:p>
    <w:p w14:paraId="56D91215" w14:textId="63172E69" w:rsidR="00286164" w:rsidRPr="00605672" w:rsidRDefault="00720ED9" w:rsidP="00286164">
      <w:r>
        <w:lastRenderedPageBreak/>
        <w:t>“</w:t>
      </w:r>
      <w:r w:rsidR="00286164" w:rsidRPr="00605672">
        <w:t>These questions deal with investments made by your company in the relationship with the customer. Please evaluate the following statements by circling the most appropriate number on the scale.</w:t>
      </w:r>
      <w:r>
        <w:t>”</w:t>
      </w:r>
      <w:r w:rsidR="00286164" w:rsidRPr="00605672">
        <w:t xml:space="preserve"> </w:t>
      </w:r>
      <w:r>
        <w:t>(</w:t>
      </w:r>
      <w:r w:rsidR="00286164" w:rsidRPr="00605672">
        <w:t>Seven-point scale: “completely inaccurate description</w:t>
      </w:r>
      <w:r>
        <w:t>–</w:t>
      </w:r>
      <w:r w:rsidR="00286164" w:rsidRPr="00605672">
        <w:t>completely accurate description”</w:t>
      </w:r>
      <w:r>
        <w:t>)</w:t>
      </w:r>
    </w:p>
    <w:p w14:paraId="6097844C" w14:textId="77777777" w:rsidR="00286164" w:rsidRPr="00605672" w:rsidRDefault="00286164" w:rsidP="00286164">
      <w:pPr>
        <w:ind w:left="360" w:hanging="360"/>
      </w:pPr>
      <w:r w:rsidRPr="00605672">
        <w:t>1.</w:t>
      </w:r>
      <w:r w:rsidRPr="00605672">
        <w:tab/>
        <w:t xml:space="preserve">Training our employees to deal with this customer has involved substantial commitments of time and money. </w:t>
      </w:r>
    </w:p>
    <w:p w14:paraId="2FBB3B31" w14:textId="77777777" w:rsidR="00286164" w:rsidRPr="00605672" w:rsidRDefault="00286164" w:rsidP="00286164">
      <w:pPr>
        <w:ind w:left="360" w:hanging="360"/>
      </w:pPr>
      <w:r w:rsidRPr="00605672">
        <w:t>2.</w:t>
      </w:r>
      <w:r w:rsidRPr="00605672">
        <w:tab/>
        <w:t>Our production systems have been tailored to satisfy the requirements of this customer.</w:t>
      </w:r>
    </w:p>
    <w:p w14:paraId="3CDA89A3" w14:textId="77777777" w:rsidR="00286164" w:rsidRPr="00605672" w:rsidRDefault="00286164" w:rsidP="00286164">
      <w:pPr>
        <w:ind w:left="360" w:hanging="360"/>
      </w:pPr>
      <w:r w:rsidRPr="00605672">
        <w:t>3.</w:t>
      </w:r>
      <w:r w:rsidRPr="00605672">
        <w:tab/>
        <w:t>We have made significant adjustments in our logistics systems to better serve this customer.</w:t>
      </w:r>
    </w:p>
    <w:p w14:paraId="26DF0CF4" w14:textId="77777777" w:rsidR="00286164" w:rsidRPr="00605672" w:rsidRDefault="00286164" w:rsidP="00A3692F"/>
    <w:p w14:paraId="5600C534" w14:textId="77777777" w:rsidR="002570F6" w:rsidRPr="00605672" w:rsidRDefault="002570F6" w:rsidP="002570F6">
      <w:pPr>
        <w:rPr>
          <w:i/>
        </w:rPr>
      </w:pPr>
      <w:r w:rsidRPr="00605672">
        <w:rPr>
          <w:i/>
        </w:rPr>
        <w:t xml:space="preserve">Reseller Investments at Time 1 </w:t>
      </w:r>
      <w:r w:rsidRPr="00605672">
        <w:t>(</w:t>
      </w:r>
      <w:r w:rsidR="00C01960" w:rsidRPr="00605672">
        <w:rPr>
          <w:color w:val="000000"/>
        </w:rPr>
        <w:t>RINVT1</w:t>
      </w:r>
      <w:r w:rsidRPr="00605672">
        <w:rPr>
          <w:color w:val="000000"/>
        </w:rPr>
        <w:t xml:space="preserve">, </w:t>
      </w:r>
      <w:r w:rsidRPr="00605672">
        <w:rPr>
          <w:i/>
        </w:rPr>
        <w:t>Time 1, Supplier</w:t>
      </w:r>
      <w:r w:rsidRPr="00605672">
        <w:t>)</w:t>
      </w:r>
    </w:p>
    <w:p w14:paraId="769A508D" w14:textId="7356C09D" w:rsidR="002570F6" w:rsidRPr="00605672" w:rsidRDefault="002570F6" w:rsidP="002570F6">
      <w:r w:rsidRPr="00605672">
        <w:t>(CR =</w:t>
      </w:r>
      <w:r w:rsidR="00720ED9">
        <w:t xml:space="preserve"> </w:t>
      </w:r>
      <w:r w:rsidRPr="00605672">
        <w:t>.883)</w:t>
      </w:r>
    </w:p>
    <w:p w14:paraId="19112A4F" w14:textId="7B7067A8" w:rsidR="002570F6" w:rsidRPr="00605672" w:rsidRDefault="00720ED9" w:rsidP="002570F6">
      <w:r>
        <w:t>“</w:t>
      </w:r>
      <w:r w:rsidR="002570F6" w:rsidRPr="00605672">
        <w:t>These questions deal with investments made by the customer in the relationship with your company. Please evaluate the following statements by circling the most appropriate number on the scale.</w:t>
      </w:r>
      <w:r>
        <w:t>”</w:t>
      </w:r>
      <w:r w:rsidR="002570F6" w:rsidRPr="00605672">
        <w:t xml:space="preserve"> </w:t>
      </w:r>
      <w:r>
        <w:t>(</w:t>
      </w:r>
      <w:r w:rsidR="002570F6" w:rsidRPr="00605672">
        <w:t>Seven-point scale: “completely inaccurate description</w:t>
      </w:r>
      <w:r>
        <w:t>–</w:t>
      </w:r>
      <w:r w:rsidR="002570F6" w:rsidRPr="00605672">
        <w:t>completely accurate description”</w:t>
      </w:r>
      <w:r>
        <w:t>)</w:t>
      </w:r>
      <w:r w:rsidR="002570F6" w:rsidRPr="00605672">
        <w:t xml:space="preserve"> </w:t>
      </w:r>
    </w:p>
    <w:p w14:paraId="4290E08E" w14:textId="77777777" w:rsidR="002570F6" w:rsidRPr="00605672" w:rsidRDefault="002570F6" w:rsidP="002570F6">
      <w:pPr>
        <w:ind w:left="360" w:hanging="360"/>
      </w:pPr>
      <w:r w:rsidRPr="00605672">
        <w:t>1.</w:t>
      </w:r>
      <w:r w:rsidRPr="00605672">
        <w:tab/>
        <w:t>This customer has made significant investments in equipment dedicated to the relationship with our company.</w:t>
      </w:r>
    </w:p>
    <w:p w14:paraId="4B0388D8" w14:textId="77777777" w:rsidR="002570F6" w:rsidRPr="00605672" w:rsidRDefault="002570F6" w:rsidP="002570F6">
      <w:pPr>
        <w:ind w:left="360" w:hanging="360"/>
      </w:pPr>
      <w:r w:rsidRPr="00605672">
        <w:t>2.</w:t>
      </w:r>
      <w:r w:rsidRPr="00605672">
        <w:tab/>
        <w:t>This customer has made extensive internal adjustments in order to deal effectively with our company.</w:t>
      </w:r>
    </w:p>
    <w:p w14:paraId="61A59777" w14:textId="77777777" w:rsidR="002570F6" w:rsidRPr="00605672" w:rsidRDefault="002570F6" w:rsidP="002570F6">
      <w:pPr>
        <w:ind w:left="360" w:hanging="360"/>
      </w:pPr>
      <w:r w:rsidRPr="00605672">
        <w:t>3.</w:t>
      </w:r>
      <w:r w:rsidRPr="00605672">
        <w:tab/>
        <w:t>Training their employees to deal with our company has involved substantial commitments of time and money on the part of this customer.</w:t>
      </w:r>
    </w:p>
    <w:p w14:paraId="28B097A2" w14:textId="77777777" w:rsidR="002570F6" w:rsidRPr="00605672" w:rsidRDefault="002570F6" w:rsidP="002570F6">
      <w:pPr>
        <w:ind w:left="360" w:hanging="360"/>
      </w:pPr>
      <w:r w:rsidRPr="00605672">
        <w:t>4.</w:t>
      </w:r>
      <w:r w:rsidRPr="00605672">
        <w:tab/>
        <w:t>The customer’s logistics systems have been tailored to meet the requirements of our company.</w:t>
      </w:r>
    </w:p>
    <w:p w14:paraId="19B5EECE" w14:textId="77777777" w:rsidR="002570F6" w:rsidRPr="00605672" w:rsidRDefault="002570F6" w:rsidP="00A3692F"/>
    <w:p w14:paraId="73971D37" w14:textId="77777777" w:rsidR="007760A3" w:rsidRPr="00605672" w:rsidRDefault="007760A3" w:rsidP="00A3692F">
      <w:r w:rsidRPr="00605672">
        <w:rPr>
          <w:i/>
        </w:rPr>
        <w:t xml:space="preserve">Reseller </w:t>
      </w:r>
      <w:r w:rsidR="0089722F" w:rsidRPr="00605672">
        <w:rPr>
          <w:i/>
        </w:rPr>
        <w:t>Selection</w:t>
      </w:r>
      <w:r w:rsidRPr="00605672">
        <w:rPr>
          <w:i/>
        </w:rPr>
        <w:t xml:space="preserve"> Efforts at Time 1 </w:t>
      </w:r>
      <w:r w:rsidRPr="00605672">
        <w:t>(</w:t>
      </w:r>
      <w:r w:rsidR="003B7993" w:rsidRPr="00605672">
        <w:rPr>
          <w:color w:val="000000"/>
        </w:rPr>
        <w:t>SSEL</w:t>
      </w:r>
      <w:r w:rsidRPr="00605672">
        <w:rPr>
          <w:color w:val="000000"/>
        </w:rPr>
        <w:t xml:space="preserve">T1, </w:t>
      </w:r>
      <w:r w:rsidRPr="00605672">
        <w:rPr>
          <w:i/>
        </w:rPr>
        <w:t>Time 1, Supplier</w:t>
      </w:r>
      <w:r w:rsidRPr="00605672">
        <w:t>).</w:t>
      </w:r>
    </w:p>
    <w:p w14:paraId="0748B2A8" w14:textId="64D6B18E" w:rsidR="007760A3" w:rsidRPr="00605672" w:rsidRDefault="007760A3" w:rsidP="00A3692F">
      <w:r w:rsidRPr="00605672">
        <w:t>(CR =</w:t>
      </w:r>
      <w:r w:rsidR="00720ED9">
        <w:t xml:space="preserve"> </w:t>
      </w:r>
      <w:r w:rsidRPr="00605672">
        <w:t>.</w:t>
      </w:r>
      <w:r w:rsidR="00031E65" w:rsidRPr="00605672">
        <w:t>926</w:t>
      </w:r>
      <w:r w:rsidRPr="00605672">
        <w:t>)</w:t>
      </w:r>
    </w:p>
    <w:p w14:paraId="0AFA8B43" w14:textId="4B01109D" w:rsidR="007760A3" w:rsidRPr="00605672" w:rsidRDefault="00720ED9" w:rsidP="00A3692F">
      <w:r>
        <w:t>“</w:t>
      </w:r>
      <w:r w:rsidR="007760A3" w:rsidRPr="00605672">
        <w:t xml:space="preserve">Suppliers often undertake various </w:t>
      </w:r>
      <w:r w:rsidR="00B766A0" w:rsidRPr="00605672">
        <w:t xml:space="preserve">qualification [i.e., selection] </w:t>
      </w:r>
      <w:r w:rsidR="007760A3" w:rsidRPr="00605672">
        <w:t>efforts</w:t>
      </w:r>
      <w:r w:rsidR="00B766A0" w:rsidRPr="00605672">
        <w:t xml:space="preserve"> </w:t>
      </w:r>
      <w:r w:rsidR="007760A3" w:rsidRPr="00605672">
        <w:t xml:space="preserve">PRIOR to establishing a customer relationship. Please consider the time when the relationship with this customer was FIRST established (for any product), and indicate the extent of such </w:t>
      </w:r>
      <w:r w:rsidR="007F6F21" w:rsidRPr="00605672">
        <w:t>qualification</w:t>
      </w:r>
      <w:r w:rsidR="007760A3" w:rsidRPr="00605672">
        <w:t xml:space="preserve"> efforts undertaken by your firm with respect to this customer in each area listed below.</w:t>
      </w:r>
      <w:r>
        <w:t>”</w:t>
      </w:r>
      <w:r w:rsidR="007760A3" w:rsidRPr="00605672">
        <w:t xml:space="preserve"> </w:t>
      </w:r>
      <w:r>
        <w:t>(</w:t>
      </w:r>
      <w:r w:rsidR="007760A3" w:rsidRPr="00605672">
        <w:t xml:space="preserve">Seven-point scale: “minimal </w:t>
      </w:r>
      <w:r w:rsidR="00B766A0" w:rsidRPr="00605672">
        <w:t>qualification</w:t>
      </w:r>
      <w:r w:rsidR="007760A3" w:rsidRPr="00605672">
        <w:t xml:space="preserve"> effort</w:t>
      </w:r>
      <w:r>
        <w:t>–</w:t>
      </w:r>
      <w:r w:rsidR="007760A3" w:rsidRPr="00605672">
        <w:t xml:space="preserve">extensive </w:t>
      </w:r>
      <w:r w:rsidR="00B766A0" w:rsidRPr="00605672">
        <w:t>qualification</w:t>
      </w:r>
      <w:r w:rsidR="007760A3" w:rsidRPr="00605672">
        <w:t xml:space="preserve"> effort”</w:t>
      </w:r>
      <w:r>
        <w:t>)</w:t>
      </w:r>
    </w:p>
    <w:p w14:paraId="48BD2D9B" w14:textId="77777777" w:rsidR="007760A3" w:rsidRPr="00605672" w:rsidRDefault="007760A3" w:rsidP="00FB3B98">
      <w:pPr>
        <w:ind w:left="360" w:hanging="360"/>
      </w:pPr>
      <w:r w:rsidRPr="00605672">
        <w:t>1.</w:t>
      </w:r>
      <w:r w:rsidRPr="00605672">
        <w:tab/>
        <w:t>Expertise (e.g., product knowledge)</w:t>
      </w:r>
    </w:p>
    <w:p w14:paraId="1C8B69DA" w14:textId="77777777" w:rsidR="007760A3" w:rsidRPr="00605672" w:rsidRDefault="007760A3" w:rsidP="00FB3B98">
      <w:pPr>
        <w:ind w:left="360" w:hanging="360"/>
      </w:pPr>
      <w:r w:rsidRPr="00605672">
        <w:t>2.</w:t>
      </w:r>
      <w:r w:rsidRPr="00605672">
        <w:tab/>
        <w:t>Physical space</w:t>
      </w:r>
    </w:p>
    <w:p w14:paraId="2B68A22B" w14:textId="77777777" w:rsidR="007760A3" w:rsidRPr="00605672" w:rsidRDefault="007760A3" w:rsidP="00FB3B98">
      <w:pPr>
        <w:ind w:left="360" w:hanging="360"/>
      </w:pPr>
      <w:r w:rsidRPr="00605672">
        <w:t>3.</w:t>
      </w:r>
      <w:r w:rsidRPr="00605672">
        <w:tab/>
        <w:t>Financial strength</w:t>
      </w:r>
    </w:p>
    <w:p w14:paraId="68221A85" w14:textId="77777777" w:rsidR="007760A3" w:rsidRPr="00605672" w:rsidRDefault="007760A3" w:rsidP="00FB3B98">
      <w:pPr>
        <w:ind w:left="360" w:hanging="360"/>
      </w:pPr>
      <w:r w:rsidRPr="00605672">
        <w:t>4.</w:t>
      </w:r>
      <w:r w:rsidRPr="00605672">
        <w:tab/>
        <w:t>Personnel/Management resources</w:t>
      </w:r>
    </w:p>
    <w:p w14:paraId="7F60446B" w14:textId="77777777" w:rsidR="007760A3" w:rsidRPr="00605672" w:rsidRDefault="007760A3" w:rsidP="00FB3B98">
      <w:pPr>
        <w:ind w:left="360" w:hanging="360"/>
      </w:pPr>
      <w:r w:rsidRPr="00605672">
        <w:t>5.</w:t>
      </w:r>
      <w:r w:rsidRPr="00605672">
        <w:tab/>
        <w:t>Price level</w:t>
      </w:r>
    </w:p>
    <w:p w14:paraId="2B2DB07D" w14:textId="77777777" w:rsidR="007760A3" w:rsidRPr="00605672" w:rsidRDefault="007760A3" w:rsidP="00FB3B98">
      <w:pPr>
        <w:ind w:left="360" w:hanging="360"/>
      </w:pPr>
      <w:r w:rsidRPr="00605672">
        <w:t>6.</w:t>
      </w:r>
      <w:r w:rsidRPr="00605672">
        <w:tab/>
        <w:t>Relationship with other suppliers</w:t>
      </w:r>
    </w:p>
    <w:p w14:paraId="12D86961" w14:textId="77777777" w:rsidR="007760A3" w:rsidRPr="00605672" w:rsidRDefault="007760A3" w:rsidP="00A3692F"/>
    <w:p w14:paraId="134F6A09" w14:textId="77777777" w:rsidR="007760A3" w:rsidRPr="00605672" w:rsidRDefault="00C8042D" w:rsidP="00A3692F">
      <w:r w:rsidRPr="00605672">
        <w:rPr>
          <w:i/>
        </w:rPr>
        <w:t xml:space="preserve">Supplier </w:t>
      </w:r>
      <w:r w:rsidR="0089722F" w:rsidRPr="00605672">
        <w:rPr>
          <w:i/>
        </w:rPr>
        <w:t>Selection</w:t>
      </w:r>
      <w:r w:rsidR="007760A3" w:rsidRPr="00605672">
        <w:rPr>
          <w:i/>
        </w:rPr>
        <w:t xml:space="preserve"> </w:t>
      </w:r>
      <w:r w:rsidR="001C3775" w:rsidRPr="00605672">
        <w:rPr>
          <w:i/>
        </w:rPr>
        <w:t xml:space="preserve">Efforts </w:t>
      </w:r>
      <w:r w:rsidR="007760A3" w:rsidRPr="00605672">
        <w:rPr>
          <w:i/>
        </w:rPr>
        <w:t xml:space="preserve">at Time 1 </w:t>
      </w:r>
      <w:r w:rsidR="007760A3" w:rsidRPr="00605672">
        <w:t>(</w:t>
      </w:r>
      <w:r w:rsidR="003B7993" w:rsidRPr="00605672">
        <w:rPr>
          <w:color w:val="000000"/>
        </w:rPr>
        <w:t>RSEL</w:t>
      </w:r>
      <w:r w:rsidR="00C01960" w:rsidRPr="00605672">
        <w:rPr>
          <w:color w:val="000000"/>
        </w:rPr>
        <w:t>T1</w:t>
      </w:r>
      <w:r w:rsidR="007760A3" w:rsidRPr="00605672">
        <w:rPr>
          <w:color w:val="000000"/>
        </w:rPr>
        <w:t xml:space="preserve">, </w:t>
      </w:r>
      <w:r w:rsidR="007760A3" w:rsidRPr="00605672">
        <w:rPr>
          <w:i/>
        </w:rPr>
        <w:t>Time 1, Reseller</w:t>
      </w:r>
      <w:r w:rsidR="007760A3" w:rsidRPr="00605672">
        <w:t>).</w:t>
      </w:r>
    </w:p>
    <w:p w14:paraId="68A38CCC" w14:textId="7BA98344" w:rsidR="007760A3" w:rsidRPr="00605672" w:rsidRDefault="007760A3" w:rsidP="00A3692F">
      <w:r w:rsidRPr="00605672">
        <w:t>(CR =</w:t>
      </w:r>
      <w:r w:rsidR="00720ED9">
        <w:t xml:space="preserve"> </w:t>
      </w:r>
      <w:r w:rsidRPr="00605672">
        <w:t>.9</w:t>
      </w:r>
      <w:r w:rsidR="00F62252" w:rsidRPr="00605672">
        <w:t>31</w:t>
      </w:r>
      <w:r w:rsidRPr="00605672">
        <w:t>)</w:t>
      </w:r>
    </w:p>
    <w:p w14:paraId="655D4A6B" w14:textId="7756FEAE" w:rsidR="007760A3" w:rsidRPr="00605672" w:rsidRDefault="00720ED9" w:rsidP="00A3692F">
      <w:r>
        <w:t>“</w:t>
      </w:r>
      <w:r w:rsidR="007760A3" w:rsidRPr="00605672">
        <w:t xml:space="preserve">Customers often undertake various </w:t>
      </w:r>
      <w:r w:rsidR="007F6F21" w:rsidRPr="00605672">
        <w:t xml:space="preserve">qualification </w:t>
      </w:r>
      <w:r>
        <w:t>(</w:t>
      </w:r>
      <w:r w:rsidR="007F6F21" w:rsidRPr="00605672">
        <w:t>i.e., selection</w:t>
      </w:r>
      <w:r>
        <w:t>)</w:t>
      </w:r>
      <w:r w:rsidR="007F6F21" w:rsidRPr="00605672">
        <w:t xml:space="preserve"> </w:t>
      </w:r>
      <w:r w:rsidR="007760A3" w:rsidRPr="00605672">
        <w:t xml:space="preserve">efforts PRIOR to establishing a supplier relationship. Please consider the time when the relationship with this supplier was FIRST established (for any product), and indicate the extent of such </w:t>
      </w:r>
      <w:r w:rsidR="007F6F21" w:rsidRPr="00605672">
        <w:t xml:space="preserve">qualification </w:t>
      </w:r>
      <w:r w:rsidR="007760A3" w:rsidRPr="00605672">
        <w:t>efforts undertaken by your firm with respect to this supplier in each area listed below.</w:t>
      </w:r>
      <w:r>
        <w:t>”</w:t>
      </w:r>
      <w:r w:rsidR="007760A3" w:rsidRPr="00605672">
        <w:t xml:space="preserve"> </w:t>
      </w:r>
      <w:r>
        <w:t>(</w:t>
      </w:r>
      <w:r w:rsidR="007760A3" w:rsidRPr="00605672">
        <w:t xml:space="preserve">Seven-point scale: “minimal </w:t>
      </w:r>
      <w:r w:rsidR="007F6F21" w:rsidRPr="00605672">
        <w:t xml:space="preserve">qualification </w:t>
      </w:r>
      <w:r w:rsidR="007760A3" w:rsidRPr="00605672">
        <w:t>effort</w:t>
      </w:r>
      <w:r>
        <w:t>–</w:t>
      </w:r>
      <w:r w:rsidR="007760A3" w:rsidRPr="00605672">
        <w:t xml:space="preserve">extensive </w:t>
      </w:r>
      <w:r w:rsidR="007F6F21" w:rsidRPr="00605672">
        <w:t xml:space="preserve">qualification </w:t>
      </w:r>
      <w:r w:rsidR="007760A3" w:rsidRPr="00605672">
        <w:t>effort”</w:t>
      </w:r>
      <w:r>
        <w:t>)</w:t>
      </w:r>
    </w:p>
    <w:p w14:paraId="46FCE2AE" w14:textId="77777777" w:rsidR="007760A3" w:rsidRPr="00605672" w:rsidRDefault="007760A3" w:rsidP="00FB3B98">
      <w:pPr>
        <w:ind w:left="360" w:hanging="360"/>
      </w:pPr>
      <w:r w:rsidRPr="00605672">
        <w:t>1.</w:t>
      </w:r>
      <w:r w:rsidRPr="00605672">
        <w:tab/>
        <w:t>Product quality</w:t>
      </w:r>
    </w:p>
    <w:p w14:paraId="6E91180E" w14:textId="77777777" w:rsidR="007760A3" w:rsidRPr="00605672" w:rsidRDefault="007760A3" w:rsidP="00FB3B98">
      <w:pPr>
        <w:ind w:left="360" w:hanging="360"/>
      </w:pPr>
      <w:r w:rsidRPr="00605672">
        <w:lastRenderedPageBreak/>
        <w:t>2.</w:t>
      </w:r>
      <w:r w:rsidRPr="00605672">
        <w:tab/>
        <w:t>Expertise (e.g., technical expertise)</w:t>
      </w:r>
    </w:p>
    <w:p w14:paraId="4F54D209" w14:textId="77777777" w:rsidR="007760A3" w:rsidRPr="00605672" w:rsidRDefault="007760A3" w:rsidP="00FB3B98">
      <w:pPr>
        <w:ind w:left="360" w:hanging="360"/>
      </w:pPr>
      <w:r w:rsidRPr="00605672">
        <w:t xml:space="preserve">3. </w:t>
      </w:r>
      <w:r w:rsidRPr="00605672">
        <w:tab/>
        <w:t>Production capacity</w:t>
      </w:r>
    </w:p>
    <w:p w14:paraId="040A9457" w14:textId="77777777" w:rsidR="007760A3" w:rsidRPr="00605672" w:rsidRDefault="007760A3" w:rsidP="00FB3B98">
      <w:pPr>
        <w:ind w:left="360" w:hanging="360"/>
      </w:pPr>
      <w:r w:rsidRPr="00605672">
        <w:t>3.</w:t>
      </w:r>
      <w:r w:rsidRPr="00605672">
        <w:tab/>
        <w:t>Financial strength</w:t>
      </w:r>
    </w:p>
    <w:p w14:paraId="24E984C1" w14:textId="77777777" w:rsidR="007760A3" w:rsidRPr="00605672" w:rsidRDefault="007760A3" w:rsidP="00FB3B98">
      <w:pPr>
        <w:ind w:left="360" w:hanging="360"/>
      </w:pPr>
      <w:r w:rsidRPr="00605672">
        <w:t>4.</w:t>
      </w:r>
      <w:r w:rsidRPr="00605672">
        <w:tab/>
        <w:t>Personnel/Management resources</w:t>
      </w:r>
    </w:p>
    <w:p w14:paraId="2D96ADF7" w14:textId="77777777" w:rsidR="007760A3" w:rsidRPr="00605672" w:rsidRDefault="007760A3" w:rsidP="00FB3B98">
      <w:pPr>
        <w:ind w:left="360" w:hanging="360"/>
      </w:pPr>
      <w:r w:rsidRPr="00605672">
        <w:t>5.</w:t>
      </w:r>
      <w:r w:rsidRPr="00605672">
        <w:tab/>
        <w:t>Price level</w:t>
      </w:r>
    </w:p>
    <w:p w14:paraId="089CAC02" w14:textId="77777777" w:rsidR="007760A3" w:rsidRPr="00605672" w:rsidRDefault="007760A3" w:rsidP="00FB3B98">
      <w:pPr>
        <w:ind w:left="360" w:hanging="360"/>
      </w:pPr>
      <w:r w:rsidRPr="00605672">
        <w:t>6.</w:t>
      </w:r>
      <w:r w:rsidRPr="00605672">
        <w:tab/>
        <w:t>Relationship with other customers</w:t>
      </w:r>
    </w:p>
    <w:p w14:paraId="7D7F82F1" w14:textId="77777777" w:rsidR="00CB1228" w:rsidRPr="00605672" w:rsidRDefault="00CB1228" w:rsidP="00CB1228"/>
    <w:p w14:paraId="1FCF5CED" w14:textId="5F7540E9" w:rsidR="00CB1228" w:rsidRPr="00605672" w:rsidRDefault="00CB1228" w:rsidP="00CB1228">
      <w:pPr>
        <w:rPr>
          <w:i/>
        </w:rPr>
      </w:pPr>
      <w:r w:rsidRPr="00605672">
        <w:rPr>
          <w:i/>
        </w:rPr>
        <w:t xml:space="preserve">Type of </w:t>
      </w:r>
      <w:r w:rsidR="00720ED9">
        <w:rPr>
          <w:i/>
        </w:rPr>
        <w:t>A</w:t>
      </w:r>
      <w:r w:rsidRPr="00605672">
        <w:rPr>
          <w:i/>
        </w:rPr>
        <w:t>greement</w:t>
      </w:r>
      <w:r w:rsidR="00152304" w:rsidRPr="00605672">
        <w:rPr>
          <w:i/>
        </w:rPr>
        <w:t xml:space="preserve"> </w:t>
      </w:r>
      <w:r w:rsidR="00152304" w:rsidRPr="00605672">
        <w:t>(Time 1, Supplier)</w:t>
      </w:r>
    </w:p>
    <w:p w14:paraId="5A637ADD" w14:textId="581FC0DA" w:rsidR="007F718C" w:rsidRPr="00605672" w:rsidRDefault="00720ED9" w:rsidP="00CB1228">
      <w:r>
        <w:t>“</w:t>
      </w:r>
      <w:r w:rsidR="007F718C" w:rsidRPr="00605672">
        <w:t xml:space="preserve">Which of the following best describes the agreement between your company and the </w:t>
      </w:r>
      <w:r w:rsidR="000B35D0" w:rsidRPr="00605672">
        <w:t>customer</w:t>
      </w:r>
      <w:r w:rsidR="007F718C" w:rsidRPr="00605672">
        <w:t>?</w:t>
      </w:r>
      <w:r>
        <w:t>”</w:t>
      </w:r>
      <w:r w:rsidR="007F718C" w:rsidRPr="00605672">
        <w:t xml:space="preserve"> </w:t>
      </w:r>
      <w:r w:rsidR="002B77E6" w:rsidRPr="00605672">
        <w:t>Dummy</w:t>
      </w:r>
      <w:r>
        <w:t xml:space="preserve"> variable</w:t>
      </w:r>
      <w:r w:rsidR="00152304" w:rsidRPr="00605672">
        <w:t xml:space="preserve">: </w:t>
      </w:r>
      <w:r w:rsidR="007F718C" w:rsidRPr="00605672">
        <w:t xml:space="preserve">“Individual orders (negotiation of terms for each shipment)” </w:t>
      </w:r>
      <w:r w:rsidR="00E73A02" w:rsidRPr="00605672">
        <w:t xml:space="preserve">or </w:t>
      </w:r>
      <w:r w:rsidR="007F718C" w:rsidRPr="00605672">
        <w:t>“Some form of purchase agreement that extends beyond individual orders</w:t>
      </w:r>
      <w:r>
        <w:t>.</w:t>
      </w:r>
      <w:r w:rsidR="007F718C" w:rsidRPr="00605672">
        <w:t>”</w:t>
      </w:r>
    </w:p>
    <w:p w14:paraId="356D5883" w14:textId="77777777" w:rsidR="003D17B3" w:rsidRPr="00605672" w:rsidRDefault="003D17B3" w:rsidP="00CB1228"/>
    <w:p w14:paraId="3EE96677" w14:textId="77777777" w:rsidR="003D17B3" w:rsidRPr="00605672" w:rsidRDefault="003D17B3" w:rsidP="003D17B3">
      <w:r w:rsidRPr="00605672">
        <w:rPr>
          <w:i/>
        </w:rPr>
        <w:t>Concentration of Sales</w:t>
      </w:r>
      <w:r w:rsidRPr="00605672">
        <w:t xml:space="preserve"> (</w:t>
      </w:r>
      <w:r w:rsidRPr="00605672">
        <w:rPr>
          <w:i/>
        </w:rPr>
        <w:t>Time 1, Supplier</w:t>
      </w:r>
      <w:r w:rsidRPr="00605672">
        <w:t>)</w:t>
      </w:r>
    </w:p>
    <w:p w14:paraId="54D4D528" w14:textId="3322573F" w:rsidR="003D17B3" w:rsidRPr="00605672" w:rsidRDefault="00720ED9" w:rsidP="003D17B3">
      <w:r>
        <w:t>“</w:t>
      </w:r>
      <w:r w:rsidR="003D17B3" w:rsidRPr="00605672">
        <w:t>What percentage (0</w:t>
      </w:r>
      <w:r>
        <w:t>–</w:t>
      </w:r>
      <w:r w:rsidR="003D17B3" w:rsidRPr="00605672">
        <w:t>100%) of total sales of this product is sold to this customer?</w:t>
      </w:r>
      <w:r>
        <w:t>” (</w:t>
      </w:r>
      <w:r w:rsidR="003D17B3" w:rsidRPr="00605672">
        <w:t>Seven-point scale: 1 &lt;</w:t>
      </w:r>
      <w:r>
        <w:t xml:space="preserve"> </w:t>
      </w:r>
      <w:r w:rsidR="003D17B3" w:rsidRPr="00605672">
        <w:t xml:space="preserve">5%, 4 </w:t>
      </w:r>
      <w:r>
        <w:t xml:space="preserve">= </w:t>
      </w:r>
      <w:r w:rsidR="003D17B3" w:rsidRPr="00605672">
        <w:t>50%, 7 &gt;</w:t>
      </w:r>
      <w:r>
        <w:t xml:space="preserve"> </w:t>
      </w:r>
      <w:r w:rsidR="003D17B3" w:rsidRPr="00605672">
        <w:t>95%</w:t>
      </w:r>
      <w:r>
        <w:t>)</w:t>
      </w:r>
      <w:r w:rsidR="003D17B3" w:rsidRPr="00605672">
        <w:t>.</w:t>
      </w:r>
    </w:p>
    <w:p w14:paraId="040239AD" w14:textId="77777777" w:rsidR="003D17B3" w:rsidRPr="00605672" w:rsidRDefault="003D17B3" w:rsidP="003D17B3"/>
    <w:p w14:paraId="646B42AA" w14:textId="77777777" w:rsidR="003D17B3" w:rsidRPr="00605672" w:rsidRDefault="003D17B3" w:rsidP="003D17B3">
      <w:r w:rsidRPr="00605672">
        <w:rPr>
          <w:i/>
        </w:rPr>
        <w:t>Supplier Replaceability</w:t>
      </w:r>
      <w:r w:rsidRPr="00605672">
        <w:t xml:space="preserve"> (Time 1, Supplier)</w:t>
      </w:r>
    </w:p>
    <w:p w14:paraId="7188D344" w14:textId="742C5EEC" w:rsidR="003D17B3" w:rsidRPr="00605672" w:rsidRDefault="00720ED9" w:rsidP="003D17B3">
      <w:r>
        <w:t>“</w:t>
      </w:r>
      <w:r w:rsidR="003D17B3" w:rsidRPr="00605672">
        <w:t>It will be easy for us to replace this customer, but difficult for the customer to replace us with another supplier.</w:t>
      </w:r>
      <w:r>
        <w:t>” (</w:t>
      </w:r>
      <w:r w:rsidR="003D17B3" w:rsidRPr="00605672">
        <w:t>Seven-point scale: “completely inaccurate description</w:t>
      </w:r>
      <w:r>
        <w:t>–</w:t>
      </w:r>
      <w:r w:rsidR="003D17B3" w:rsidRPr="00605672">
        <w:t>completely accurate description”</w:t>
      </w:r>
      <w:r>
        <w:t>)</w:t>
      </w:r>
    </w:p>
    <w:p w14:paraId="291DBBBD" w14:textId="77777777" w:rsidR="007F718C" w:rsidRPr="00605672" w:rsidRDefault="007F718C" w:rsidP="00CB1228">
      <w:pPr>
        <w:rPr>
          <w:i/>
        </w:rPr>
      </w:pPr>
    </w:p>
    <w:p w14:paraId="74B7F894" w14:textId="77777777" w:rsidR="003D17B3" w:rsidRPr="00605672" w:rsidRDefault="003D17B3" w:rsidP="003D17B3">
      <w:r w:rsidRPr="00605672">
        <w:rPr>
          <w:i/>
        </w:rPr>
        <w:t xml:space="preserve">Order Unpredictability </w:t>
      </w:r>
      <w:r w:rsidRPr="00605672">
        <w:t>(Time 1, Reseller)</w:t>
      </w:r>
    </w:p>
    <w:p w14:paraId="2F02E353" w14:textId="28D9B621" w:rsidR="003D17B3" w:rsidRPr="00605672" w:rsidRDefault="00720ED9" w:rsidP="003D17B3">
      <w:r>
        <w:t>“</w:t>
      </w:r>
      <w:r w:rsidR="003D17B3" w:rsidRPr="00605672">
        <w:t>Please indicate how difficult it is to predict your company’s demand for this product (from this supplier).</w:t>
      </w:r>
      <w:r>
        <w:t>” (</w:t>
      </w:r>
      <w:r w:rsidR="003D17B3" w:rsidRPr="00605672">
        <w:t>Seven-point scale: “easy to predict demand</w:t>
      </w:r>
      <w:r>
        <w:t>–</w:t>
      </w:r>
      <w:r w:rsidR="003D17B3" w:rsidRPr="00605672">
        <w:t>hard to predict demand”</w:t>
      </w:r>
      <w:r>
        <w:t>)</w:t>
      </w:r>
    </w:p>
    <w:p w14:paraId="1CD7C69D" w14:textId="77777777" w:rsidR="003D17B3" w:rsidRPr="00605672" w:rsidRDefault="003D17B3" w:rsidP="00CB1228">
      <w:pPr>
        <w:rPr>
          <w:i/>
        </w:rPr>
      </w:pPr>
    </w:p>
    <w:p w14:paraId="1CEB3840" w14:textId="77777777" w:rsidR="003D17B3" w:rsidRPr="00605672" w:rsidRDefault="003D17B3" w:rsidP="003D17B3">
      <w:r w:rsidRPr="00605672">
        <w:rPr>
          <w:i/>
        </w:rPr>
        <w:t xml:space="preserve">Demand Unpredictability </w:t>
      </w:r>
      <w:r w:rsidRPr="00605672">
        <w:t>(Time 1, Reseller)</w:t>
      </w:r>
    </w:p>
    <w:p w14:paraId="65DFEFC4" w14:textId="4CC08B54" w:rsidR="003D17B3" w:rsidRPr="00605672" w:rsidRDefault="00720ED9" w:rsidP="003D17B3">
      <w:r>
        <w:t>“</w:t>
      </w:r>
      <w:r w:rsidR="003D17B3" w:rsidRPr="00605672">
        <w:t>Please indicate how difficult it is to predict your customers’ demand for this product.</w:t>
      </w:r>
      <w:r>
        <w:t>” (</w:t>
      </w:r>
      <w:r w:rsidR="003D17B3" w:rsidRPr="00605672">
        <w:t>Seven-point scale: “easy to predict demand</w:t>
      </w:r>
      <w:r>
        <w:t>–</w:t>
      </w:r>
      <w:r w:rsidR="003D17B3" w:rsidRPr="00605672">
        <w:t>hard to predict demand”</w:t>
      </w:r>
      <w:r>
        <w:t>)</w:t>
      </w:r>
    </w:p>
    <w:p w14:paraId="5AFE28BD" w14:textId="77777777" w:rsidR="003D17B3" w:rsidRPr="00605672" w:rsidRDefault="003D17B3" w:rsidP="00CB1228">
      <w:pPr>
        <w:rPr>
          <w:i/>
        </w:rPr>
      </w:pPr>
    </w:p>
    <w:p w14:paraId="636DC222" w14:textId="11ADF0B5" w:rsidR="00CB1228" w:rsidRPr="00605672" w:rsidRDefault="00CB1228" w:rsidP="00CB1228">
      <w:pPr>
        <w:rPr>
          <w:i/>
        </w:rPr>
      </w:pPr>
      <w:r w:rsidRPr="00605672">
        <w:rPr>
          <w:i/>
        </w:rPr>
        <w:t xml:space="preserve">Demand </w:t>
      </w:r>
      <w:r w:rsidR="00720ED9">
        <w:rPr>
          <w:i/>
        </w:rPr>
        <w:t>U</w:t>
      </w:r>
      <w:r w:rsidRPr="00605672">
        <w:rPr>
          <w:i/>
        </w:rPr>
        <w:t>ncertainty</w:t>
      </w:r>
      <w:r w:rsidR="00152304" w:rsidRPr="00605672">
        <w:rPr>
          <w:i/>
        </w:rPr>
        <w:t xml:space="preserve"> </w:t>
      </w:r>
      <w:r w:rsidR="00152304" w:rsidRPr="00605672">
        <w:t>(Time 1, Supplier)</w:t>
      </w:r>
    </w:p>
    <w:p w14:paraId="04BD8CA3" w14:textId="3DF41C5B" w:rsidR="007F718C" w:rsidRPr="00605672" w:rsidRDefault="00720ED9" w:rsidP="00CB1228">
      <w:r>
        <w:t>“</w:t>
      </w:r>
      <w:r w:rsidR="007F718C" w:rsidRPr="00605672">
        <w:t>Please evaluate the following statements by circling the most appropriate number on the scale.</w:t>
      </w:r>
      <w:r>
        <w:t>”</w:t>
      </w:r>
      <w:r w:rsidR="007F718C" w:rsidRPr="00605672">
        <w:t xml:space="preserve"> </w:t>
      </w:r>
      <w:r>
        <w:t>(</w:t>
      </w:r>
      <w:r w:rsidR="007F718C" w:rsidRPr="00605672">
        <w:t>Seven-point scale: “completely inaccurate description</w:t>
      </w:r>
      <w:r>
        <w:t>–</w:t>
      </w:r>
      <w:r w:rsidR="007F718C" w:rsidRPr="00605672">
        <w:t>completely accurate description”</w:t>
      </w:r>
      <w:r>
        <w:t>)</w:t>
      </w:r>
    </w:p>
    <w:p w14:paraId="76C90D79" w14:textId="58F0A407" w:rsidR="004A1B6C" w:rsidRDefault="00152304" w:rsidP="00727D37">
      <w:pPr>
        <w:pStyle w:val="ListParagraph"/>
        <w:numPr>
          <w:ilvl w:val="0"/>
          <w:numId w:val="4"/>
        </w:numPr>
        <w:ind w:left="360"/>
      </w:pPr>
      <w:r w:rsidRPr="00605672">
        <w:t xml:space="preserve">It is difficult to forecast sales for this product to this </w:t>
      </w:r>
      <w:r w:rsidR="000B35D0" w:rsidRPr="00605672">
        <w:t>customer</w:t>
      </w:r>
      <w:r w:rsidRPr="00605672">
        <w:t>.</w:t>
      </w:r>
    </w:p>
    <w:p w14:paraId="1A16C702" w14:textId="77777777" w:rsidR="003D17B3" w:rsidRPr="00605672" w:rsidRDefault="003D17B3" w:rsidP="003D17B3"/>
    <w:p w14:paraId="76DD4880" w14:textId="22D179A3" w:rsidR="003D17B3" w:rsidRPr="00605672" w:rsidRDefault="003D17B3" w:rsidP="003D17B3">
      <w:pPr>
        <w:rPr>
          <w:i/>
        </w:rPr>
      </w:pPr>
      <w:r w:rsidRPr="00605672">
        <w:rPr>
          <w:i/>
        </w:rPr>
        <w:t xml:space="preserve">Supplier </w:t>
      </w:r>
      <w:r w:rsidR="00720ED9">
        <w:rPr>
          <w:i/>
        </w:rPr>
        <w:t>C</w:t>
      </w:r>
      <w:r w:rsidRPr="00605672">
        <w:rPr>
          <w:i/>
        </w:rPr>
        <w:t xml:space="preserve">ompetition </w:t>
      </w:r>
      <w:r w:rsidRPr="00605672">
        <w:t>(Time 1, Reseller)</w:t>
      </w:r>
    </w:p>
    <w:p w14:paraId="27FF18CA" w14:textId="01AC0D7E" w:rsidR="003D17B3" w:rsidRPr="00605672" w:rsidRDefault="00720ED9" w:rsidP="003D17B3">
      <w:r>
        <w:t>“</w:t>
      </w:r>
      <w:r w:rsidR="003D17B3" w:rsidRPr="00605672">
        <w:t>Please rate the extent of competition in your industry.</w:t>
      </w:r>
      <w:r>
        <w:t>” (</w:t>
      </w:r>
      <w:r w:rsidR="003D17B3" w:rsidRPr="00605672">
        <w:t>Seven-point scale: “limited competition</w:t>
      </w:r>
      <w:r>
        <w:t>–</w:t>
      </w:r>
      <w:r w:rsidR="003D17B3" w:rsidRPr="00605672">
        <w:t>extensive competition”</w:t>
      </w:r>
      <w:r>
        <w:t>)</w:t>
      </w:r>
    </w:p>
    <w:p w14:paraId="0066CC10" w14:textId="77777777" w:rsidR="002D2979" w:rsidRPr="00605672" w:rsidRDefault="002D2979" w:rsidP="002D2979">
      <w:pPr>
        <w:rPr>
          <w:i/>
        </w:rPr>
      </w:pPr>
    </w:p>
    <w:p w14:paraId="02AF2AA7" w14:textId="408E3D04" w:rsidR="002D2979" w:rsidRPr="00605672" w:rsidRDefault="002D2979" w:rsidP="002D2979">
      <w:pPr>
        <w:rPr>
          <w:i/>
        </w:rPr>
      </w:pPr>
      <w:r w:rsidRPr="00605672">
        <w:rPr>
          <w:i/>
        </w:rPr>
        <w:t xml:space="preserve">Reseller </w:t>
      </w:r>
      <w:r w:rsidR="00720ED9">
        <w:rPr>
          <w:i/>
        </w:rPr>
        <w:t>C</w:t>
      </w:r>
      <w:r w:rsidRPr="00605672">
        <w:rPr>
          <w:i/>
        </w:rPr>
        <w:t>ompetition</w:t>
      </w:r>
      <w:r w:rsidRPr="00605672" w:rsidDel="007C35D2">
        <w:rPr>
          <w:i/>
        </w:rPr>
        <w:t xml:space="preserve"> </w:t>
      </w:r>
      <w:r w:rsidRPr="00605672">
        <w:t>(Time 1, Supplier)</w:t>
      </w:r>
    </w:p>
    <w:p w14:paraId="54E457E0" w14:textId="47ED6E83" w:rsidR="002D2979" w:rsidRPr="00605672" w:rsidRDefault="00720ED9" w:rsidP="002D2979">
      <w:r>
        <w:t>“</w:t>
      </w:r>
      <w:r w:rsidR="002D2979" w:rsidRPr="00605672">
        <w:t>Please rate the extent of competition among the customers.</w:t>
      </w:r>
      <w:r>
        <w:t>” (</w:t>
      </w:r>
      <w:r w:rsidR="002D2979" w:rsidRPr="00605672">
        <w:t>Seven-point scale: “limited competition among customers</w:t>
      </w:r>
      <w:r>
        <w:t>–</w:t>
      </w:r>
      <w:r w:rsidR="002D2979" w:rsidRPr="00605672">
        <w:t>extensive competition among customers”</w:t>
      </w:r>
      <w:r>
        <w:t>)</w:t>
      </w:r>
    </w:p>
    <w:p w14:paraId="570C0D72" w14:textId="77777777" w:rsidR="002D2979" w:rsidRPr="00605672" w:rsidRDefault="002D2979" w:rsidP="002D2979"/>
    <w:p w14:paraId="046CA124" w14:textId="77777777" w:rsidR="002D2979" w:rsidRPr="00605672" w:rsidRDefault="002D2979" w:rsidP="002D2979">
      <w:r w:rsidRPr="00605672">
        <w:rPr>
          <w:i/>
        </w:rPr>
        <w:t>Relative Size</w:t>
      </w:r>
      <w:r w:rsidRPr="00605672">
        <w:t xml:space="preserve"> (Time 1, Supplier)</w:t>
      </w:r>
    </w:p>
    <w:p w14:paraId="566E8392" w14:textId="7AB57805" w:rsidR="002D2979" w:rsidRPr="00605672" w:rsidRDefault="00720ED9" w:rsidP="002D2979">
      <w:r>
        <w:t>“</w:t>
      </w:r>
      <w:r w:rsidR="002D2979" w:rsidRPr="00605672">
        <w:t>With respect to last year’s sales volume (for all products), how large is your company relative to this customer?</w:t>
      </w:r>
      <w:r>
        <w:t>”</w:t>
      </w:r>
    </w:p>
    <w:p w14:paraId="68BA594B" w14:textId="77777777" w:rsidR="002D2979" w:rsidRPr="00605672" w:rsidRDefault="002D2979" w:rsidP="002D2979">
      <w:pPr>
        <w:pStyle w:val="ColorfulList-Accent11"/>
        <w:numPr>
          <w:ilvl w:val="0"/>
          <w:numId w:val="2"/>
        </w:numPr>
        <w:spacing w:before="0" w:line="240" w:lineRule="auto"/>
        <w:ind w:left="360" w:hanging="360"/>
      </w:pPr>
      <w:r w:rsidRPr="00605672">
        <w:t>We are X times smaller than this customer</w:t>
      </w:r>
      <w:r w:rsidR="00720ED9">
        <w:t>.</w:t>
      </w:r>
    </w:p>
    <w:p w14:paraId="5000899B" w14:textId="77777777" w:rsidR="002D2979" w:rsidRPr="00605672" w:rsidRDefault="002D2979" w:rsidP="002D2979">
      <w:pPr>
        <w:pStyle w:val="ColorfulList-Accent11"/>
        <w:numPr>
          <w:ilvl w:val="0"/>
          <w:numId w:val="2"/>
        </w:numPr>
        <w:spacing w:before="0" w:line="240" w:lineRule="auto"/>
        <w:ind w:left="360" w:hanging="360"/>
      </w:pPr>
      <w:r w:rsidRPr="00605672">
        <w:lastRenderedPageBreak/>
        <w:t>We and the customer are equally large</w:t>
      </w:r>
      <w:r w:rsidR="00720ED9">
        <w:t>.</w:t>
      </w:r>
    </w:p>
    <w:p w14:paraId="3FABE6B6" w14:textId="77777777" w:rsidR="002D2979" w:rsidRPr="00605672" w:rsidRDefault="002D2979" w:rsidP="002D2979">
      <w:pPr>
        <w:pStyle w:val="ColorfulList-Accent11"/>
        <w:numPr>
          <w:ilvl w:val="0"/>
          <w:numId w:val="2"/>
        </w:numPr>
        <w:spacing w:before="0" w:line="240" w:lineRule="auto"/>
        <w:ind w:left="360" w:hanging="360"/>
      </w:pPr>
      <w:r w:rsidRPr="00605672">
        <w:t>We are X times larger than this customer</w:t>
      </w:r>
      <w:r w:rsidR="00720ED9">
        <w:t>.</w:t>
      </w:r>
    </w:p>
    <w:p w14:paraId="40BEA112" w14:textId="77777777" w:rsidR="002D2979" w:rsidRPr="00605672" w:rsidRDefault="002D2979" w:rsidP="00CB1228">
      <w:pPr>
        <w:rPr>
          <w:i/>
        </w:rPr>
      </w:pPr>
    </w:p>
    <w:p w14:paraId="6C35F7EB" w14:textId="77777777" w:rsidR="002D2979" w:rsidRPr="00605672" w:rsidRDefault="002D2979" w:rsidP="002D2979">
      <w:r w:rsidRPr="00605672">
        <w:rPr>
          <w:i/>
        </w:rPr>
        <w:t>Supplier Size (Time</w:t>
      </w:r>
      <w:r w:rsidRPr="00605672">
        <w:t xml:space="preserve"> </w:t>
      </w:r>
      <w:r w:rsidRPr="00605672">
        <w:rPr>
          <w:i/>
        </w:rPr>
        <w:t>1, Supplier</w:t>
      </w:r>
      <w:r w:rsidRPr="00605672">
        <w:t>)</w:t>
      </w:r>
    </w:p>
    <w:p w14:paraId="6D74DE0A" w14:textId="77777777" w:rsidR="00797B0E" w:rsidRDefault="00720ED9">
      <w:r>
        <w:t>“</w:t>
      </w:r>
      <w:r w:rsidR="002D2979" w:rsidRPr="00605672">
        <w:t>Please specify the total revenues (excluding sales tax) for your business.</w:t>
      </w:r>
      <w:r>
        <w:t>”</w:t>
      </w:r>
    </w:p>
    <w:p w14:paraId="37772696" w14:textId="77777777" w:rsidR="00720ED9" w:rsidRDefault="00720ED9"/>
    <w:p w14:paraId="71101331" w14:textId="77777777" w:rsidR="00720ED9" w:rsidRPr="00605672" w:rsidRDefault="00720ED9">
      <w:r>
        <w:t xml:space="preserve">Notes: CR = composite reliability. </w:t>
      </w:r>
    </w:p>
    <w:sectPr w:rsidR="00720ED9" w:rsidRPr="00605672" w:rsidSect="0097561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43E340" w16cid:durableId="1F0EB668"/>
  <w16cid:commentId w16cid:paraId="27E81E27" w16cid:durableId="1F0EB681"/>
  <w16cid:commentId w16cid:paraId="25A1B022" w16cid:durableId="1F0EB69D"/>
  <w16cid:commentId w16cid:paraId="5F02D9A0" w16cid:durableId="1F0EB6E7"/>
  <w16cid:commentId w16cid:paraId="5B1F0BA6" w16cid:durableId="1F0EB70B"/>
  <w16cid:commentId w16cid:paraId="39507315" w16cid:durableId="1F0EB767"/>
  <w16cid:commentId w16cid:paraId="4392D001" w16cid:durableId="1F0EB77D"/>
  <w16cid:commentId w16cid:paraId="48463162" w16cid:durableId="1F0C0AF4"/>
  <w16cid:commentId w16cid:paraId="74DDAC2C" w16cid:durableId="1F0EB7D0"/>
  <w16cid:commentId w16cid:paraId="622A373F" w16cid:durableId="1F0EB7AB"/>
  <w16cid:commentId w16cid:paraId="5B0C2B45" w16cid:durableId="1F0EB7E1"/>
  <w16cid:commentId w16cid:paraId="44968848" w16cid:durableId="1F0EB804"/>
  <w16cid:commentId w16cid:paraId="6D67700D" w16cid:durableId="1F0EB847"/>
  <w16cid:commentId w16cid:paraId="47B07C05" w16cid:durableId="1F0EB8B2"/>
  <w16cid:commentId w16cid:paraId="12CC56E7" w16cid:durableId="1F0EB8DF"/>
  <w16cid:commentId w16cid:paraId="27E4CDF0" w16cid:durableId="1F0C0AF5"/>
  <w16cid:commentId w16cid:paraId="43092B93" w16cid:durableId="1F0EB90A"/>
  <w16cid:commentId w16cid:paraId="02651C46" w16cid:durableId="1F0EB91A"/>
  <w16cid:commentId w16cid:paraId="016D329B" w16cid:durableId="1F0C0AF6"/>
  <w16cid:commentId w16cid:paraId="0DEE4B5F" w16cid:durableId="1F0EB944"/>
  <w16cid:commentId w16cid:paraId="32D5FFFB" w16cid:durableId="1F0EB97F"/>
  <w16cid:commentId w16cid:paraId="091E6BA8" w16cid:durableId="1F0C0AF7"/>
  <w16cid:commentId w16cid:paraId="58B20380" w16cid:durableId="1F0C0AF8"/>
  <w16cid:commentId w16cid:paraId="0E7E3AF0" w16cid:durableId="1F0C0AF9"/>
  <w16cid:commentId w16cid:paraId="7E2944CC" w16cid:durableId="1F0C0AFA"/>
  <w16cid:commentId w16cid:paraId="219BC669" w16cid:durableId="1F0EB9A6"/>
  <w16cid:commentId w16cid:paraId="1ACA0C18" w16cid:durableId="1F0EB9D5"/>
  <w16cid:commentId w16cid:paraId="2140B5BA" w16cid:durableId="1F0C0AFB"/>
  <w16cid:commentId w16cid:paraId="7F251886" w16cid:durableId="1F0EBA30"/>
  <w16cid:commentId w16cid:paraId="0A7E8FAA" w16cid:durableId="1F0EBA4B"/>
  <w16cid:commentId w16cid:paraId="3423EF50" w16cid:durableId="1F0EBA60"/>
  <w16cid:commentId w16cid:paraId="7364C137" w16cid:durableId="1F0EBA79"/>
  <w16cid:commentId w16cid:paraId="74B973A9" w16cid:durableId="1F0EBAAD"/>
  <w16cid:commentId w16cid:paraId="3D01A424" w16cid:durableId="1F0C0AFC"/>
  <w16cid:commentId w16cid:paraId="02557C73" w16cid:durableId="1F0C0AFD"/>
  <w16cid:commentId w16cid:paraId="65206C59" w16cid:durableId="1F0C0AFE"/>
  <w16cid:commentId w16cid:paraId="4010CAAA" w16cid:durableId="1F0C0AFF"/>
  <w16cid:commentId w16cid:paraId="79B42201" w16cid:durableId="1F0C0B00"/>
  <w16cid:commentId w16cid:paraId="109B940C" w16cid:durableId="1F0C0B02"/>
  <w16cid:commentId w16cid:paraId="38B13582" w16cid:durableId="1F0C0B03"/>
  <w16cid:commentId w16cid:paraId="7D535ED3" w16cid:durableId="1F0C0B04"/>
  <w16cid:commentId w16cid:paraId="65A3AE32" w16cid:durableId="1F0C0B05"/>
  <w16cid:commentId w16cid:paraId="7B7AC41E" w16cid:durableId="1F0C10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8C8C3" w14:textId="77777777" w:rsidR="009033FA" w:rsidRDefault="009033FA" w:rsidP="008A021E">
      <w:r>
        <w:separator/>
      </w:r>
    </w:p>
  </w:endnote>
  <w:endnote w:type="continuationSeparator" w:id="0">
    <w:p w14:paraId="0AD3A580" w14:textId="77777777" w:rsidR="009033FA" w:rsidRDefault="009033FA" w:rsidP="008A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merican Typewriter Light">
    <w:altName w:val="Courier New"/>
    <w:charset w:val="00"/>
    <w:family w:val="auto"/>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FFD2C" w14:textId="77777777" w:rsidR="004A1B6C" w:rsidRDefault="004A1B6C" w:rsidP="007353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7042FE" w14:textId="77777777" w:rsidR="004A1B6C" w:rsidRDefault="004A1B6C" w:rsidP="000309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F1A50" w14:textId="7ADD0093" w:rsidR="004A1B6C" w:rsidRDefault="004A1B6C" w:rsidP="009578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7D37">
      <w:rPr>
        <w:rStyle w:val="PageNumber"/>
        <w:noProof/>
      </w:rPr>
      <w:t>38</w:t>
    </w:r>
    <w:r>
      <w:rPr>
        <w:rStyle w:val="PageNumber"/>
      </w:rPr>
      <w:fldChar w:fldCharType="end"/>
    </w:r>
  </w:p>
  <w:p w14:paraId="7171393D" w14:textId="77777777" w:rsidR="004A1B6C" w:rsidRDefault="004A1B6C" w:rsidP="0073538F">
    <w:pPr>
      <w:pStyle w:val="Footer"/>
      <w:framePr w:wrap="around" w:vAnchor="text" w:hAnchor="margin" w:xAlign="right" w:y="1"/>
      <w:ind w:right="360"/>
      <w:rPr>
        <w:rStyle w:val="PageNumber"/>
      </w:rPr>
    </w:pPr>
  </w:p>
  <w:p w14:paraId="1FADD29F" w14:textId="77777777" w:rsidR="004A1B6C" w:rsidRDefault="004A1B6C" w:rsidP="0003092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2859B" w14:textId="77777777" w:rsidR="004A1B6C" w:rsidRDefault="004A1B6C" w:rsidP="007353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7C5A10" w14:textId="77777777" w:rsidR="004A1B6C" w:rsidRDefault="004A1B6C" w:rsidP="0003092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1CDE4" w14:textId="49C00D86" w:rsidR="004A1B6C" w:rsidRDefault="004A1B6C" w:rsidP="009578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7D37">
      <w:rPr>
        <w:rStyle w:val="PageNumber"/>
        <w:noProof/>
      </w:rPr>
      <w:t>48</w:t>
    </w:r>
    <w:r>
      <w:rPr>
        <w:rStyle w:val="PageNumber"/>
      </w:rPr>
      <w:fldChar w:fldCharType="end"/>
    </w:r>
  </w:p>
  <w:p w14:paraId="10D48756" w14:textId="77777777" w:rsidR="004A1B6C" w:rsidRDefault="004A1B6C" w:rsidP="0073538F">
    <w:pPr>
      <w:pStyle w:val="Footer"/>
      <w:framePr w:wrap="around" w:vAnchor="text" w:hAnchor="margin" w:xAlign="right" w:y="1"/>
      <w:ind w:right="360"/>
      <w:rPr>
        <w:rStyle w:val="PageNumber"/>
      </w:rPr>
    </w:pPr>
  </w:p>
  <w:p w14:paraId="4458AA1C" w14:textId="77777777" w:rsidR="004A1B6C" w:rsidRDefault="004A1B6C" w:rsidP="000309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EE47B" w14:textId="77777777" w:rsidR="009033FA" w:rsidRDefault="009033FA" w:rsidP="00FB3B98">
      <w:r>
        <w:separator/>
      </w:r>
    </w:p>
  </w:footnote>
  <w:footnote w:type="continuationSeparator" w:id="0">
    <w:p w14:paraId="72B8C7B0" w14:textId="77777777" w:rsidR="009033FA" w:rsidRDefault="009033FA" w:rsidP="008A021E">
      <w:r>
        <w:continuationSeparator/>
      </w:r>
    </w:p>
  </w:footnote>
  <w:footnote w:id="1">
    <w:p w14:paraId="464B3AE7" w14:textId="38F44760" w:rsidR="004A1B6C" w:rsidRDefault="004A1B6C" w:rsidP="00C1362C">
      <w:pPr>
        <w:pStyle w:val="FootnoteText"/>
        <w:keepNext/>
        <w:keepLines/>
        <w:spacing w:line="240" w:lineRule="auto"/>
        <w:ind w:left="187" w:hanging="187"/>
      </w:pPr>
      <w:r>
        <w:rPr>
          <w:rStyle w:val="FootnoteReference"/>
        </w:rPr>
        <w:footnoteRef/>
      </w:r>
      <w:r>
        <w:t xml:space="preserve"> </w:t>
      </w:r>
      <w:r>
        <w:tab/>
        <w:t xml:space="preserve">Agency theory indicates that selection has an initial effect (Bergen, Dutta and Walker 1992), by mitigating adverse selection problems that arise ex ante. However, these effects may have limited range; in theory, selection does not serve as a safeguard against </w:t>
      </w:r>
      <w:r w:rsidRPr="00727D37">
        <w:t>ongoing</w:t>
      </w:r>
      <w:r w:rsidRPr="002F57C2">
        <w:t xml:space="preserve"> </w:t>
      </w:r>
      <w:r>
        <w:t>moral hazard (Kirmani and Rao 2000). Our results suggest instead that selection efforts have ongoing governance properties, by virtue of their interactions with mutual investments.</w:t>
      </w:r>
    </w:p>
  </w:footnote>
  <w:footnote w:id="2">
    <w:p w14:paraId="4F1F973E" w14:textId="1E1B2200" w:rsidR="004A1B6C" w:rsidRDefault="004A1B6C" w:rsidP="00E278CC">
      <w:pPr>
        <w:pStyle w:val="FootnoteText"/>
        <w:spacing w:line="240" w:lineRule="auto"/>
        <w:ind w:left="142" w:hanging="142"/>
      </w:pPr>
      <w:r>
        <w:rPr>
          <w:rStyle w:val="FootnoteReference"/>
        </w:rPr>
        <w:footnoteRef/>
      </w:r>
      <w:r>
        <w:t xml:space="preserve"> Our theoretical focus is the time-related effects of a supplier’s initial governance arrangements on its incremental investments and transaction costs. Empirically, we capture the relevant constructs through a two-wave survey, where selection efforts and mutual investments are captured at time 1 and incremental investments and transaction costs are captured at time 2. In our initial (time 1) survey, we asked the supplier informants to consider their original reseller selection efforts (technically, at time 0, before the relationship began). Thus, our conceptual framework actually comprises three points in time (0, 1, and 2), which we explicitly account for in our analyses. </w:t>
      </w:r>
    </w:p>
  </w:footnote>
  <w:footnote w:id="3">
    <w:p w14:paraId="09FA11E0" w14:textId="77777777" w:rsidR="004A1B6C" w:rsidRPr="002F57C2" w:rsidRDefault="004A1B6C" w:rsidP="002F57C2">
      <w:pPr>
        <w:pStyle w:val="FootnoteText"/>
        <w:spacing w:line="240" w:lineRule="auto"/>
        <w:ind w:left="180" w:hanging="180"/>
      </w:pPr>
      <w:r w:rsidRPr="002F57C2">
        <w:rPr>
          <w:rStyle w:val="FootnoteReference"/>
        </w:rPr>
        <w:footnoteRef/>
      </w:r>
      <w:r w:rsidRPr="002F57C2">
        <w:t xml:space="preserve"> </w:t>
      </w:r>
      <w:r>
        <w:tab/>
      </w:r>
      <w:r w:rsidRPr="002F57C2">
        <w:t xml:space="preserve">Symmetric, preexisting investments also arguably might help promote the supplier’s incremental investments. Conceivably, symmetry protects the reseller from exploitation by the supplier and thus promotes its cooperation. However, we predict that </w:t>
      </w:r>
      <w:r>
        <w:t xml:space="preserve">when it comes to </w:t>
      </w:r>
      <w:r w:rsidRPr="002F57C2">
        <w:t xml:space="preserve">supplier incremental investments, asymmetry in the supplier’s favor (i.e., </w:t>
      </w:r>
      <w:r w:rsidRPr="00727D37">
        <w:rPr>
          <w:rFonts w:eastAsia="Times New Roman"/>
          <w:color w:val="000000"/>
        </w:rPr>
        <w:t xml:space="preserve">the reseller </w:t>
      </w:r>
      <w:r>
        <w:rPr>
          <w:rFonts w:eastAsia="Times New Roman"/>
          <w:color w:val="000000"/>
        </w:rPr>
        <w:t xml:space="preserve">makes greater </w:t>
      </w:r>
      <w:r w:rsidRPr="00727D37">
        <w:rPr>
          <w:rFonts w:eastAsia="Times New Roman"/>
          <w:color w:val="000000"/>
        </w:rPr>
        <w:t>investments than the supplier)</w:t>
      </w:r>
      <w:r w:rsidRPr="002F57C2">
        <w:t xml:space="preserve"> serves a unique safeguarding </w:t>
      </w:r>
      <w:r>
        <w:t>function</w:t>
      </w:r>
      <w:r w:rsidRPr="002F57C2">
        <w:t xml:space="preserve">. </w:t>
      </w:r>
    </w:p>
  </w:footnote>
  <w:footnote w:id="4">
    <w:p w14:paraId="79F8E0E2" w14:textId="120D6C39" w:rsidR="004A1B6C" w:rsidRDefault="004A1B6C" w:rsidP="003F5110">
      <w:pPr>
        <w:pStyle w:val="FootnoteText"/>
        <w:spacing w:line="240" w:lineRule="auto"/>
        <w:ind w:left="180" w:hanging="180"/>
      </w:pPr>
      <w:r>
        <w:rPr>
          <w:rStyle w:val="FootnoteReference"/>
        </w:rPr>
        <w:footnoteRef/>
      </w:r>
      <w:r>
        <w:t xml:space="preserve"> Thus, INVDIFF = (reseller investments at time 1 – supplier investments at time 1). For this computation, we use latent factor scores of the supplier and reseller investment variables at time 1. </w:t>
      </w:r>
    </w:p>
  </w:footnote>
  <w:footnote w:id="5">
    <w:p w14:paraId="5BD84280" w14:textId="41C0F4B2" w:rsidR="004A1B6C" w:rsidRDefault="004A1B6C" w:rsidP="00756B07">
      <w:pPr>
        <w:pStyle w:val="FootnoteText"/>
        <w:spacing w:line="240" w:lineRule="auto"/>
        <w:ind w:left="187" w:hanging="187"/>
      </w:pPr>
      <w:r>
        <w:rPr>
          <w:rStyle w:val="FootnoteReference"/>
        </w:rPr>
        <w:footnoteRef/>
      </w:r>
      <w:r>
        <w:t xml:space="preserve"> As we noted in Footnote 2, technically this value refers to selection efforts undertaken at time 0, before the relationship formally began. We account for this point in our empirical test.</w:t>
      </w:r>
    </w:p>
  </w:footnote>
  <w:footnote w:id="6">
    <w:p w14:paraId="127C00D8" w14:textId="015290E6" w:rsidR="004A1B6C" w:rsidRPr="00727D37" w:rsidRDefault="004A1B6C" w:rsidP="000D001E">
      <w:pPr>
        <w:ind w:left="180" w:hanging="180"/>
        <w:rPr>
          <w:sz w:val="20"/>
          <w:szCs w:val="20"/>
        </w:rPr>
      </w:pPr>
      <w:r w:rsidRPr="00727D37">
        <w:rPr>
          <w:rStyle w:val="FootnoteReference"/>
          <w:sz w:val="20"/>
          <w:szCs w:val="20"/>
        </w:rPr>
        <w:footnoteRef/>
      </w:r>
      <w:r w:rsidRPr="00727D37">
        <w:rPr>
          <w:sz w:val="20"/>
          <w:szCs w:val="20"/>
        </w:rPr>
        <w:t xml:space="preserve"> </w:t>
      </w:r>
      <w:r>
        <w:rPr>
          <w:sz w:val="20"/>
          <w:szCs w:val="20"/>
        </w:rPr>
        <w:tab/>
        <w:t xml:space="preserve">Because </w:t>
      </w:r>
      <w:r w:rsidRPr="00727D37">
        <w:rPr>
          <w:rFonts w:eastAsia="Times New Roman"/>
          <w:color w:val="000000"/>
          <w:sz w:val="20"/>
          <w:szCs w:val="20"/>
          <w:lang w:val="en-GB" w:eastAsia="en-GB"/>
        </w:rPr>
        <w:t>SUEST combines parameter estimates and associated (co)variance matrices from several regression equations in one model</w:t>
      </w:r>
      <w:r>
        <w:rPr>
          <w:rFonts w:eastAsia="Times New Roman"/>
          <w:color w:val="000000"/>
          <w:sz w:val="20"/>
          <w:szCs w:val="20"/>
          <w:lang w:val="en-GB" w:eastAsia="en-GB"/>
        </w:rPr>
        <w:t>,</w:t>
      </w:r>
      <w:r w:rsidRPr="00727D37">
        <w:rPr>
          <w:rFonts w:eastAsia="Times New Roman"/>
          <w:color w:val="000000"/>
          <w:sz w:val="20"/>
          <w:szCs w:val="20"/>
          <w:lang w:val="en-GB" w:eastAsia="en-GB"/>
        </w:rPr>
        <w:t xml:space="preserve"> while allowing for robust errors</w:t>
      </w:r>
      <w:r>
        <w:rPr>
          <w:rFonts w:eastAsia="Times New Roman"/>
          <w:color w:val="000000"/>
          <w:sz w:val="20"/>
          <w:szCs w:val="20"/>
          <w:lang w:val="en-GB" w:eastAsia="en-GB"/>
        </w:rPr>
        <w:t>,</w:t>
      </w:r>
      <w:r w:rsidRPr="00727D37">
        <w:rPr>
          <w:rFonts w:eastAsia="Times New Roman"/>
          <w:color w:val="000000"/>
          <w:sz w:val="20"/>
          <w:szCs w:val="20"/>
          <w:lang w:val="en-GB" w:eastAsia="en-GB"/>
        </w:rPr>
        <w:t xml:space="preserve"> this approach is particularly </w:t>
      </w:r>
      <w:r>
        <w:rPr>
          <w:rFonts w:eastAsia="Times New Roman"/>
          <w:color w:val="000000"/>
          <w:sz w:val="20"/>
          <w:szCs w:val="20"/>
          <w:lang w:val="en-GB" w:eastAsia="en-GB"/>
        </w:rPr>
        <w:t>well-</w:t>
      </w:r>
      <w:r w:rsidRPr="00727D37">
        <w:rPr>
          <w:rFonts w:eastAsia="Times New Roman"/>
          <w:color w:val="000000"/>
          <w:sz w:val="20"/>
          <w:szCs w:val="20"/>
          <w:lang w:val="en-GB" w:eastAsia="en-GB"/>
        </w:rPr>
        <w:t xml:space="preserve">suited </w:t>
      </w:r>
      <w:r>
        <w:rPr>
          <w:rFonts w:eastAsia="Times New Roman"/>
          <w:color w:val="000000"/>
          <w:sz w:val="20"/>
          <w:szCs w:val="20"/>
          <w:lang w:val="en-GB" w:eastAsia="en-GB"/>
        </w:rPr>
        <w:t xml:space="preserve">to </w:t>
      </w:r>
      <w:r w:rsidRPr="00727D37">
        <w:rPr>
          <w:rFonts w:eastAsia="Times New Roman"/>
          <w:color w:val="000000"/>
          <w:sz w:val="20"/>
          <w:szCs w:val="20"/>
          <w:lang w:val="en-GB" w:eastAsia="en-GB"/>
        </w:rPr>
        <w:t>modest sample sizes.</w:t>
      </w:r>
    </w:p>
  </w:footnote>
  <w:footnote w:id="7">
    <w:p w14:paraId="3A3917DD" w14:textId="1B2ECC68" w:rsidR="004A1B6C" w:rsidRDefault="004A1B6C" w:rsidP="00666979">
      <w:pPr>
        <w:pStyle w:val="FootnoteText"/>
        <w:spacing w:line="240" w:lineRule="auto"/>
        <w:ind w:left="180" w:hanging="180"/>
      </w:pPr>
      <w:r>
        <w:rPr>
          <w:rStyle w:val="FootnoteReference"/>
        </w:rPr>
        <w:footnoteRef/>
      </w:r>
      <w:r>
        <w:t xml:space="preserve"> </w:t>
      </w:r>
      <w:r>
        <w:rPr>
          <w:rFonts w:eastAsia="Times New Roman"/>
          <w:color w:val="000000"/>
          <w:lang w:val="en-GB" w:eastAsia="en-GB"/>
        </w:rPr>
        <w:t>Because</w:t>
      </w:r>
      <w:r w:rsidRPr="00436784">
        <w:rPr>
          <w:rFonts w:eastAsia="Times New Roman"/>
          <w:color w:val="000000"/>
          <w:lang w:val="en-GB" w:eastAsia="en-GB"/>
        </w:rPr>
        <w:t xml:space="preserve"> </w:t>
      </w:r>
      <w:r>
        <w:rPr>
          <w:rFonts w:eastAsia="Times New Roman"/>
          <w:color w:val="000000"/>
          <w:lang w:val="en-GB" w:eastAsia="en-GB"/>
        </w:rPr>
        <w:t>mutual asymmetric investments (INVDIFF) represent a linear combination (difference) of reseller</w:t>
      </w:r>
      <w:r w:rsidRPr="00436784">
        <w:rPr>
          <w:rFonts w:eastAsia="Times New Roman"/>
          <w:color w:val="000000"/>
          <w:lang w:val="en-GB" w:eastAsia="en-GB"/>
        </w:rPr>
        <w:t xml:space="preserve"> investments (</w:t>
      </w:r>
      <w:r>
        <w:rPr>
          <w:rFonts w:eastAsia="Times New Roman"/>
          <w:color w:val="000000"/>
          <w:lang w:val="en-GB" w:eastAsia="en-GB"/>
        </w:rPr>
        <w:t>RINV</w:t>
      </w:r>
      <w:r w:rsidRPr="00436784">
        <w:rPr>
          <w:rFonts w:eastAsia="Times New Roman"/>
          <w:color w:val="000000"/>
          <w:lang w:val="en-GB" w:eastAsia="en-GB"/>
        </w:rPr>
        <w:t>T1)</w:t>
      </w:r>
      <w:r>
        <w:rPr>
          <w:rFonts w:eastAsia="Times New Roman"/>
          <w:color w:val="000000"/>
          <w:lang w:val="en-GB" w:eastAsia="en-GB"/>
        </w:rPr>
        <w:t xml:space="preserve"> and supplier investments (SINVT1), we exclude RINVT1 from the model. The </w:t>
      </w:r>
      <w:r w:rsidRPr="00436784">
        <w:rPr>
          <w:rFonts w:eastAsia="Times New Roman"/>
          <w:color w:val="000000"/>
          <w:lang w:val="en-GB" w:eastAsia="en-GB"/>
        </w:rPr>
        <w:t xml:space="preserve">substantive results </w:t>
      </w:r>
      <w:r>
        <w:rPr>
          <w:rFonts w:eastAsia="Times New Roman"/>
          <w:color w:val="000000"/>
          <w:lang w:val="en-GB" w:eastAsia="en-GB"/>
        </w:rPr>
        <w:t xml:space="preserve">remain </w:t>
      </w:r>
      <w:r w:rsidRPr="00436784">
        <w:rPr>
          <w:rFonts w:eastAsia="Times New Roman"/>
          <w:color w:val="000000"/>
          <w:lang w:val="en-GB" w:eastAsia="en-GB"/>
        </w:rPr>
        <w:t xml:space="preserve">the same </w:t>
      </w:r>
      <w:r>
        <w:rPr>
          <w:rFonts w:eastAsia="Times New Roman"/>
          <w:color w:val="000000"/>
          <w:lang w:val="en-GB" w:eastAsia="en-GB"/>
        </w:rPr>
        <w:t xml:space="preserve">when we exclude </w:t>
      </w:r>
      <w:r w:rsidRPr="00436784">
        <w:rPr>
          <w:rFonts w:eastAsia="Times New Roman"/>
          <w:color w:val="000000"/>
          <w:lang w:val="en-GB" w:eastAsia="en-GB"/>
        </w:rPr>
        <w:t>S</w:t>
      </w:r>
      <w:r>
        <w:rPr>
          <w:rFonts w:eastAsia="Times New Roman"/>
          <w:color w:val="000000"/>
          <w:lang w:val="en-GB" w:eastAsia="en-GB"/>
        </w:rPr>
        <w:t>INV</w:t>
      </w:r>
      <w:r w:rsidRPr="00436784">
        <w:rPr>
          <w:rFonts w:eastAsia="Times New Roman"/>
          <w:color w:val="000000"/>
          <w:lang w:val="en-GB" w:eastAsia="en-GB"/>
        </w:rPr>
        <w:t>T1</w:t>
      </w:r>
      <w:r>
        <w:rPr>
          <w:rFonts w:eastAsia="Times New Roman"/>
          <w:color w:val="000000"/>
          <w:lang w:val="en-GB" w:eastAsia="en-GB"/>
        </w:rPr>
        <w:t xml:space="preserve"> (instead of RINVT1)</w:t>
      </w:r>
      <w:r w:rsidRPr="00436784">
        <w:rPr>
          <w:rFonts w:eastAsia="Times New Roman"/>
          <w:color w:val="000000"/>
          <w:lang w:val="en-GB" w:eastAsia="en-GB"/>
        </w:rPr>
        <w:t xml:space="preserve">, </w:t>
      </w:r>
      <w:r>
        <w:rPr>
          <w:rFonts w:eastAsia="Times New Roman"/>
          <w:color w:val="000000"/>
          <w:lang w:val="en-GB" w:eastAsia="en-GB"/>
        </w:rPr>
        <w:t>but</w:t>
      </w:r>
      <w:r w:rsidRPr="00436784">
        <w:rPr>
          <w:rFonts w:eastAsia="Times New Roman"/>
          <w:color w:val="000000"/>
          <w:lang w:val="en-GB" w:eastAsia="en-GB"/>
        </w:rPr>
        <w:t xml:space="preserve"> </w:t>
      </w:r>
      <w:r>
        <w:rPr>
          <w:rFonts w:eastAsia="Times New Roman"/>
          <w:color w:val="000000"/>
          <w:lang w:val="en-GB" w:eastAsia="en-GB"/>
        </w:rPr>
        <w:t xml:space="preserve">because we </w:t>
      </w:r>
      <w:r w:rsidRPr="00436784">
        <w:rPr>
          <w:rFonts w:eastAsia="Times New Roman"/>
          <w:color w:val="000000"/>
          <w:lang w:val="en-GB" w:eastAsia="en-GB"/>
        </w:rPr>
        <w:t xml:space="preserve">take </w:t>
      </w:r>
      <w:r>
        <w:rPr>
          <w:rFonts w:eastAsia="Times New Roman"/>
          <w:color w:val="000000"/>
          <w:lang w:val="en-GB" w:eastAsia="en-GB"/>
        </w:rPr>
        <w:t>the</w:t>
      </w:r>
      <w:r w:rsidRPr="00436784">
        <w:rPr>
          <w:rFonts w:eastAsia="Times New Roman"/>
          <w:color w:val="000000"/>
          <w:lang w:val="en-GB" w:eastAsia="en-GB"/>
        </w:rPr>
        <w:t xml:space="preserve"> supplier’s perspective</w:t>
      </w:r>
      <w:r>
        <w:rPr>
          <w:rFonts w:eastAsia="Times New Roman"/>
          <w:color w:val="000000"/>
          <w:lang w:val="en-GB" w:eastAsia="en-GB"/>
        </w:rPr>
        <w:t xml:space="preserve"> throughout, we include SINVT1 in the model specification</w:t>
      </w:r>
      <w:r w:rsidRPr="00436784">
        <w:rPr>
          <w:rFonts w:eastAsia="Times New Roman"/>
          <w:color w:val="000000"/>
          <w:lang w:val="en-GB" w:eastAsia="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057"/>
    <w:multiLevelType w:val="multilevel"/>
    <w:tmpl w:val="8CFE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D48BF"/>
    <w:multiLevelType w:val="multilevel"/>
    <w:tmpl w:val="1C10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73F07"/>
    <w:multiLevelType w:val="hybridMultilevel"/>
    <w:tmpl w:val="F738DF60"/>
    <w:lvl w:ilvl="0" w:tplc="C24C7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006669"/>
    <w:multiLevelType w:val="hybridMultilevel"/>
    <w:tmpl w:val="264808C6"/>
    <w:lvl w:ilvl="0" w:tplc="73FA9C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1E535C"/>
    <w:multiLevelType w:val="hybridMultilevel"/>
    <w:tmpl w:val="73D41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1"/>
  <w:activeWritingStyle w:appName="MSWord" w:lang="nb-NO" w:vendorID="64" w:dllVersion="6" w:nlCheck="1" w:checkStyle="0"/>
  <w:activeWritingStyle w:appName="MSWord" w:lang="en-GB" w:vendorID="64" w:dllVersion="6" w:nlCheck="1" w:checkStyle="1"/>
  <w:activeWritingStyle w:appName="MSWord" w:lang="nb-NO"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6" w:nlCheck="1" w:checkStyle="0"/>
  <w:activeWritingStyle w:appName="MSWord" w:lang="en-US" w:vendorID="64" w:dllVersion="131078" w:nlCheck="1" w:checkStyle="1"/>
  <w:activeWritingStyle w:appName="MSWord" w:lang="nb-NO" w:vendorID="64" w:dllVersion="131078" w:nlCheck="1" w:checkStyle="0"/>
  <w:activeWritingStyle w:appName="MSWord" w:lang="en-GB" w:vendorID="64" w:dllVersion="131078" w:nlCheck="1" w:checkStyle="1"/>
  <w:activeWritingStyle w:appName="MSWord" w:lang="en-US" w:vendorID="2" w:dllVersion="6" w:checkStyle="0"/>
  <w:defaultTabStop w:val="720"/>
  <w:hyphenationZone w:val="425"/>
  <w:drawingGridHorizontalSpacing w:val="120"/>
  <w:displayHorizontalDrawingGridEvery w:val="2"/>
  <w:displayVerticalDrawingGridEvery w:val="2"/>
  <w:characterSpacingControl w:val="doNotCompress"/>
  <w:hdrShapeDefaults>
    <o:shapedefaults v:ext="edit" spidmax="2049" strokecolor="none [3213]">
      <v:stroke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84"/>
    <w:rsid w:val="0000050F"/>
    <w:rsid w:val="00001599"/>
    <w:rsid w:val="000017B5"/>
    <w:rsid w:val="00002B74"/>
    <w:rsid w:val="000038D5"/>
    <w:rsid w:val="00004549"/>
    <w:rsid w:val="00004C22"/>
    <w:rsid w:val="00005763"/>
    <w:rsid w:val="00005C15"/>
    <w:rsid w:val="00006593"/>
    <w:rsid w:val="000076C7"/>
    <w:rsid w:val="00007BD0"/>
    <w:rsid w:val="00010222"/>
    <w:rsid w:val="000133D3"/>
    <w:rsid w:val="000139B3"/>
    <w:rsid w:val="000139F7"/>
    <w:rsid w:val="00014821"/>
    <w:rsid w:val="00014CE7"/>
    <w:rsid w:val="000176C5"/>
    <w:rsid w:val="00021D1C"/>
    <w:rsid w:val="000225BD"/>
    <w:rsid w:val="000228C7"/>
    <w:rsid w:val="00022E0F"/>
    <w:rsid w:val="0002383F"/>
    <w:rsid w:val="00026586"/>
    <w:rsid w:val="00026EA3"/>
    <w:rsid w:val="00030927"/>
    <w:rsid w:val="00031E65"/>
    <w:rsid w:val="000327DA"/>
    <w:rsid w:val="00033259"/>
    <w:rsid w:val="00033918"/>
    <w:rsid w:val="00033B45"/>
    <w:rsid w:val="00035E5E"/>
    <w:rsid w:val="00040D82"/>
    <w:rsid w:val="00042E7B"/>
    <w:rsid w:val="000433EE"/>
    <w:rsid w:val="0004362E"/>
    <w:rsid w:val="00043F81"/>
    <w:rsid w:val="000454D2"/>
    <w:rsid w:val="00046006"/>
    <w:rsid w:val="000465A0"/>
    <w:rsid w:val="0004739A"/>
    <w:rsid w:val="00050BFC"/>
    <w:rsid w:val="00053CB6"/>
    <w:rsid w:val="00054174"/>
    <w:rsid w:val="00054267"/>
    <w:rsid w:val="00055A15"/>
    <w:rsid w:val="00055C8F"/>
    <w:rsid w:val="00055C9B"/>
    <w:rsid w:val="00056377"/>
    <w:rsid w:val="00057FA1"/>
    <w:rsid w:val="00060055"/>
    <w:rsid w:val="00060789"/>
    <w:rsid w:val="00060E11"/>
    <w:rsid w:val="00066E73"/>
    <w:rsid w:val="0007177F"/>
    <w:rsid w:val="00072505"/>
    <w:rsid w:val="000736EB"/>
    <w:rsid w:val="00073AB9"/>
    <w:rsid w:val="00075341"/>
    <w:rsid w:val="00075B1B"/>
    <w:rsid w:val="000765AA"/>
    <w:rsid w:val="000771A1"/>
    <w:rsid w:val="00077202"/>
    <w:rsid w:val="00077AA3"/>
    <w:rsid w:val="000804DB"/>
    <w:rsid w:val="00082AA1"/>
    <w:rsid w:val="00082EEA"/>
    <w:rsid w:val="00083567"/>
    <w:rsid w:val="00084ECA"/>
    <w:rsid w:val="000851A9"/>
    <w:rsid w:val="0008652A"/>
    <w:rsid w:val="00087778"/>
    <w:rsid w:val="000900CF"/>
    <w:rsid w:val="000902B3"/>
    <w:rsid w:val="00091D8C"/>
    <w:rsid w:val="000922AD"/>
    <w:rsid w:val="00094097"/>
    <w:rsid w:val="00094E34"/>
    <w:rsid w:val="000952BE"/>
    <w:rsid w:val="000955F1"/>
    <w:rsid w:val="00095949"/>
    <w:rsid w:val="000962D6"/>
    <w:rsid w:val="00096C24"/>
    <w:rsid w:val="00097305"/>
    <w:rsid w:val="00097640"/>
    <w:rsid w:val="000A069A"/>
    <w:rsid w:val="000A1E3F"/>
    <w:rsid w:val="000A292C"/>
    <w:rsid w:val="000A3480"/>
    <w:rsid w:val="000A3853"/>
    <w:rsid w:val="000A5583"/>
    <w:rsid w:val="000A59A2"/>
    <w:rsid w:val="000A7440"/>
    <w:rsid w:val="000A75FC"/>
    <w:rsid w:val="000A780B"/>
    <w:rsid w:val="000B07AA"/>
    <w:rsid w:val="000B0D48"/>
    <w:rsid w:val="000B111D"/>
    <w:rsid w:val="000B2621"/>
    <w:rsid w:val="000B2F85"/>
    <w:rsid w:val="000B35D0"/>
    <w:rsid w:val="000B4D00"/>
    <w:rsid w:val="000B70A5"/>
    <w:rsid w:val="000B7420"/>
    <w:rsid w:val="000C027A"/>
    <w:rsid w:val="000C0A27"/>
    <w:rsid w:val="000C34FA"/>
    <w:rsid w:val="000C5787"/>
    <w:rsid w:val="000C6FA2"/>
    <w:rsid w:val="000D001E"/>
    <w:rsid w:val="000D142C"/>
    <w:rsid w:val="000D15E6"/>
    <w:rsid w:val="000D24F6"/>
    <w:rsid w:val="000D2705"/>
    <w:rsid w:val="000D3B6C"/>
    <w:rsid w:val="000D40C9"/>
    <w:rsid w:val="000D47C1"/>
    <w:rsid w:val="000D4A15"/>
    <w:rsid w:val="000D5740"/>
    <w:rsid w:val="000D640C"/>
    <w:rsid w:val="000D6D94"/>
    <w:rsid w:val="000D6E65"/>
    <w:rsid w:val="000D749B"/>
    <w:rsid w:val="000D7EA9"/>
    <w:rsid w:val="000E0444"/>
    <w:rsid w:val="000E08E5"/>
    <w:rsid w:val="000E1045"/>
    <w:rsid w:val="000E13E9"/>
    <w:rsid w:val="000E24E3"/>
    <w:rsid w:val="000E4DB4"/>
    <w:rsid w:val="000E4F8B"/>
    <w:rsid w:val="000F1731"/>
    <w:rsid w:val="000F184F"/>
    <w:rsid w:val="000F1D50"/>
    <w:rsid w:val="000F289E"/>
    <w:rsid w:val="000F4915"/>
    <w:rsid w:val="000F66D5"/>
    <w:rsid w:val="000F6E4B"/>
    <w:rsid w:val="000F7B0C"/>
    <w:rsid w:val="00100690"/>
    <w:rsid w:val="00101EE9"/>
    <w:rsid w:val="00101FA4"/>
    <w:rsid w:val="00102096"/>
    <w:rsid w:val="00102856"/>
    <w:rsid w:val="00105B8B"/>
    <w:rsid w:val="001063C2"/>
    <w:rsid w:val="001069AF"/>
    <w:rsid w:val="00110101"/>
    <w:rsid w:val="00110780"/>
    <w:rsid w:val="0011251E"/>
    <w:rsid w:val="0011418F"/>
    <w:rsid w:val="00115E25"/>
    <w:rsid w:val="001162B9"/>
    <w:rsid w:val="00116905"/>
    <w:rsid w:val="00117B50"/>
    <w:rsid w:val="00117FF8"/>
    <w:rsid w:val="001215B5"/>
    <w:rsid w:val="001239FC"/>
    <w:rsid w:val="00123E6D"/>
    <w:rsid w:val="00123E8D"/>
    <w:rsid w:val="00125096"/>
    <w:rsid w:val="00125491"/>
    <w:rsid w:val="00126051"/>
    <w:rsid w:val="0012705A"/>
    <w:rsid w:val="00131C4C"/>
    <w:rsid w:val="0013288E"/>
    <w:rsid w:val="00132BE4"/>
    <w:rsid w:val="00132DA4"/>
    <w:rsid w:val="00133122"/>
    <w:rsid w:val="00134F8B"/>
    <w:rsid w:val="001365CB"/>
    <w:rsid w:val="0013707D"/>
    <w:rsid w:val="00137227"/>
    <w:rsid w:val="00137C8A"/>
    <w:rsid w:val="00141489"/>
    <w:rsid w:val="00141675"/>
    <w:rsid w:val="00142E4C"/>
    <w:rsid w:val="00142EA7"/>
    <w:rsid w:val="00143A18"/>
    <w:rsid w:val="00143A23"/>
    <w:rsid w:val="001470C7"/>
    <w:rsid w:val="00147BAC"/>
    <w:rsid w:val="00150721"/>
    <w:rsid w:val="00150A17"/>
    <w:rsid w:val="00150DF5"/>
    <w:rsid w:val="00151EC7"/>
    <w:rsid w:val="00152304"/>
    <w:rsid w:val="00152CE9"/>
    <w:rsid w:val="001538E0"/>
    <w:rsid w:val="00153B2F"/>
    <w:rsid w:val="00155081"/>
    <w:rsid w:val="001579DB"/>
    <w:rsid w:val="00161A62"/>
    <w:rsid w:val="00162902"/>
    <w:rsid w:val="00163691"/>
    <w:rsid w:val="001639CB"/>
    <w:rsid w:val="001648CE"/>
    <w:rsid w:val="00164A0F"/>
    <w:rsid w:val="00165D12"/>
    <w:rsid w:val="001707A1"/>
    <w:rsid w:val="00170AC8"/>
    <w:rsid w:val="0017175B"/>
    <w:rsid w:val="00172798"/>
    <w:rsid w:val="00173F40"/>
    <w:rsid w:val="00174125"/>
    <w:rsid w:val="00174B69"/>
    <w:rsid w:val="00176A5A"/>
    <w:rsid w:val="00176EEA"/>
    <w:rsid w:val="00180B25"/>
    <w:rsid w:val="00180D43"/>
    <w:rsid w:val="0018332C"/>
    <w:rsid w:val="00185EB6"/>
    <w:rsid w:val="001863D0"/>
    <w:rsid w:val="001865E4"/>
    <w:rsid w:val="0018776E"/>
    <w:rsid w:val="001901F7"/>
    <w:rsid w:val="00191103"/>
    <w:rsid w:val="00191A10"/>
    <w:rsid w:val="00192A28"/>
    <w:rsid w:val="00192FE9"/>
    <w:rsid w:val="00194433"/>
    <w:rsid w:val="001955D1"/>
    <w:rsid w:val="00195C21"/>
    <w:rsid w:val="0019618A"/>
    <w:rsid w:val="001964A5"/>
    <w:rsid w:val="0019676A"/>
    <w:rsid w:val="0019683E"/>
    <w:rsid w:val="00197ADF"/>
    <w:rsid w:val="001A0187"/>
    <w:rsid w:val="001A0341"/>
    <w:rsid w:val="001A0630"/>
    <w:rsid w:val="001A0B01"/>
    <w:rsid w:val="001A1053"/>
    <w:rsid w:val="001A10B4"/>
    <w:rsid w:val="001A3D7B"/>
    <w:rsid w:val="001A3EFD"/>
    <w:rsid w:val="001A4286"/>
    <w:rsid w:val="001A692D"/>
    <w:rsid w:val="001A6A46"/>
    <w:rsid w:val="001A6FD8"/>
    <w:rsid w:val="001A7543"/>
    <w:rsid w:val="001A79C6"/>
    <w:rsid w:val="001B0B48"/>
    <w:rsid w:val="001B34C1"/>
    <w:rsid w:val="001B3BE4"/>
    <w:rsid w:val="001B44B0"/>
    <w:rsid w:val="001B4DB0"/>
    <w:rsid w:val="001B529B"/>
    <w:rsid w:val="001B6255"/>
    <w:rsid w:val="001B6463"/>
    <w:rsid w:val="001B6B3F"/>
    <w:rsid w:val="001B7098"/>
    <w:rsid w:val="001C01A4"/>
    <w:rsid w:val="001C1751"/>
    <w:rsid w:val="001C32C2"/>
    <w:rsid w:val="001C3775"/>
    <w:rsid w:val="001D18D6"/>
    <w:rsid w:val="001D2003"/>
    <w:rsid w:val="001D2A68"/>
    <w:rsid w:val="001D3242"/>
    <w:rsid w:val="001D33DB"/>
    <w:rsid w:val="001D36BD"/>
    <w:rsid w:val="001D3CC9"/>
    <w:rsid w:val="001D5339"/>
    <w:rsid w:val="001E0440"/>
    <w:rsid w:val="001E14A6"/>
    <w:rsid w:val="001E174F"/>
    <w:rsid w:val="001E1EBA"/>
    <w:rsid w:val="001E2214"/>
    <w:rsid w:val="001E2F25"/>
    <w:rsid w:val="001E37F4"/>
    <w:rsid w:val="001E3B63"/>
    <w:rsid w:val="001E4858"/>
    <w:rsid w:val="001E5B29"/>
    <w:rsid w:val="001E67B1"/>
    <w:rsid w:val="001E68F1"/>
    <w:rsid w:val="001E7280"/>
    <w:rsid w:val="001F0005"/>
    <w:rsid w:val="001F0AFC"/>
    <w:rsid w:val="001F12D5"/>
    <w:rsid w:val="001F4336"/>
    <w:rsid w:val="001F4F59"/>
    <w:rsid w:val="001F539F"/>
    <w:rsid w:val="001F6343"/>
    <w:rsid w:val="001F6BE2"/>
    <w:rsid w:val="0020095D"/>
    <w:rsid w:val="00202A2C"/>
    <w:rsid w:val="002040F8"/>
    <w:rsid w:val="00205228"/>
    <w:rsid w:val="0020577F"/>
    <w:rsid w:val="002059FE"/>
    <w:rsid w:val="00211F6F"/>
    <w:rsid w:val="002124D8"/>
    <w:rsid w:val="00214B7E"/>
    <w:rsid w:val="00214E3B"/>
    <w:rsid w:val="00216157"/>
    <w:rsid w:val="002166B5"/>
    <w:rsid w:val="0021695D"/>
    <w:rsid w:val="00217DC0"/>
    <w:rsid w:val="002201E8"/>
    <w:rsid w:val="0022020E"/>
    <w:rsid w:val="0022244D"/>
    <w:rsid w:val="002224B2"/>
    <w:rsid w:val="0022466C"/>
    <w:rsid w:val="00224F29"/>
    <w:rsid w:val="00225E77"/>
    <w:rsid w:val="00226393"/>
    <w:rsid w:val="0022710E"/>
    <w:rsid w:val="00227976"/>
    <w:rsid w:val="00230F16"/>
    <w:rsid w:val="002311DD"/>
    <w:rsid w:val="002314CD"/>
    <w:rsid w:val="00232F0F"/>
    <w:rsid w:val="00233571"/>
    <w:rsid w:val="00234192"/>
    <w:rsid w:val="002345BE"/>
    <w:rsid w:val="002345EF"/>
    <w:rsid w:val="002352B3"/>
    <w:rsid w:val="00236DC0"/>
    <w:rsid w:val="00237BBF"/>
    <w:rsid w:val="002405DC"/>
    <w:rsid w:val="00240888"/>
    <w:rsid w:val="00242655"/>
    <w:rsid w:val="00243EFC"/>
    <w:rsid w:val="00245EF4"/>
    <w:rsid w:val="00246602"/>
    <w:rsid w:val="0024677B"/>
    <w:rsid w:val="00247008"/>
    <w:rsid w:val="00247CF4"/>
    <w:rsid w:val="0025074D"/>
    <w:rsid w:val="0025099A"/>
    <w:rsid w:val="00251D15"/>
    <w:rsid w:val="0025336C"/>
    <w:rsid w:val="00253C4C"/>
    <w:rsid w:val="002541F7"/>
    <w:rsid w:val="0025509B"/>
    <w:rsid w:val="002552E2"/>
    <w:rsid w:val="00255CC2"/>
    <w:rsid w:val="00256904"/>
    <w:rsid w:val="002570F6"/>
    <w:rsid w:val="00257FCD"/>
    <w:rsid w:val="002604B2"/>
    <w:rsid w:val="002610A6"/>
    <w:rsid w:val="00261530"/>
    <w:rsid w:val="0026393C"/>
    <w:rsid w:val="0026463D"/>
    <w:rsid w:val="00264C00"/>
    <w:rsid w:val="00264CB8"/>
    <w:rsid w:val="00265A3F"/>
    <w:rsid w:val="00265E02"/>
    <w:rsid w:val="00267356"/>
    <w:rsid w:val="00267422"/>
    <w:rsid w:val="00267E64"/>
    <w:rsid w:val="00270CB6"/>
    <w:rsid w:val="0027131A"/>
    <w:rsid w:val="00271560"/>
    <w:rsid w:val="00271E85"/>
    <w:rsid w:val="00273A2C"/>
    <w:rsid w:val="00274413"/>
    <w:rsid w:val="00274784"/>
    <w:rsid w:val="00274F64"/>
    <w:rsid w:val="00275549"/>
    <w:rsid w:val="00275E96"/>
    <w:rsid w:val="00276E1C"/>
    <w:rsid w:val="00277491"/>
    <w:rsid w:val="00281A28"/>
    <w:rsid w:val="002834D0"/>
    <w:rsid w:val="00283C93"/>
    <w:rsid w:val="0028476F"/>
    <w:rsid w:val="00284FA5"/>
    <w:rsid w:val="002850D0"/>
    <w:rsid w:val="002851B6"/>
    <w:rsid w:val="00286164"/>
    <w:rsid w:val="00287777"/>
    <w:rsid w:val="00290B5B"/>
    <w:rsid w:val="002912BA"/>
    <w:rsid w:val="00292EA0"/>
    <w:rsid w:val="00293076"/>
    <w:rsid w:val="00293DC2"/>
    <w:rsid w:val="0029463B"/>
    <w:rsid w:val="00294AB3"/>
    <w:rsid w:val="00294F43"/>
    <w:rsid w:val="00296672"/>
    <w:rsid w:val="00296E18"/>
    <w:rsid w:val="00296F46"/>
    <w:rsid w:val="00297ED1"/>
    <w:rsid w:val="002A0157"/>
    <w:rsid w:val="002A0FA2"/>
    <w:rsid w:val="002A1CB6"/>
    <w:rsid w:val="002A2B44"/>
    <w:rsid w:val="002A33BB"/>
    <w:rsid w:val="002A3635"/>
    <w:rsid w:val="002A408E"/>
    <w:rsid w:val="002A510D"/>
    <w:rsid w:val="002A5B21"/>
    <w:rsid w:val="002A60D8"/>
    <w:rsid w:val="002A613B"/>
    <w:rsid w:val="002A70B5"/>
    <w:rsid w:val="002A7605"/>
    <w:rsid w:val="002A7AAF"/>
    <w:rsid w:val="002A7D7B"/>
    <w:rsid w:val="002B0C73"/>
    <w:rsid w:val="002B0CA5"/>
    <w:rsid w:val="002B219F"/>
    <w:rsid w:val="002B21B3"/>
    <w:rsid w:val="002B3BAC"/>
    <w:rsid w:val="002B4BF9"/>
    <w:rsid w:val="002B6CA9"/>
    <w:rsid w:val="002B7691"/>
    <w:rsid w:val="002B77E6"/>
    <w:rsid w:val="002C085D"/>
    <w:rsid w:val="002C0CCC"/>
    <w:rsid w:val="002C104A"/>
    <w:rsid w:val="002C168F"/>
    <w:rsid w:val="002C22A3"/>
    <w:rsid w:val="002C2A1F"/>
    <w:rsid w:val="002C505C"/>
    <w:rsid w:val="002C5365"/>
    <w:rsid w:val="002C5B6E"/>
    <w:rsid w:val="002C66A2"/>
    <w:rsid w:val="002C7772"/>
    <w:rsid w:val="002C7E5A"/>
    <w:rsid w:val="002D0607"/>
    <w:rsid w:val="002D229D"/>
    <w:rsid w:val="002D2601"/>
    <w:rsid w:val="002D2979"/>
    <w:rsid w:val="002D412A"/>
    <w:rsid w:val="002D5EAD"/>
    <w:rsid w:val="002D624C"/>
    <w:rsid w:val="002D700F"/>
    <w:rsid w:val="002E114F"/>
    <w:rsid w:val="002E1B6E"/>
    <w:rsid w:val="002E3235"/>
    <w:rsid w:val="002E3CCF"/>
    <w:rsid w:val="002E42FA"/>
    <w:rsid w:val="002E4523"/>
    <w:rsid w:val="002E6958"/>
    <w:rsid w:val="002E69CD"/>
    <w:rsid w:val="002E6B3C"/>
    <w:rsid w:val="002E7473"/>
    <w:rsid w:val="002F0543"/>
    <w:rsid w:val="002F2977"/>
    <w:rsid w:val="002F2CB7"/>
    <w:rsid w:val="002F3529"/>
    <w:rsid w:val="002F3F2C"/>
    <w:rsid w:val="002F4ACB"/>
    <w:rsid w:val="002F57C2"/>
    <w:rsid w:val="002F5976"/>
    <w:rsid w:val="002F7045"/>
    <w:rsid w:val="002F74CB"/>
    <w:rsid w:val="00300B71"/>
    <w:rsid w:val="003018E4"/>
    <w:rsid w:val="00301B3F"/>
    <w:rsid w:val="00301F2E"/>
    <w:rsid w:val="003020BF"/>
    <w:rsid w:val="0030250D"/>
    <w:rsid w:val="00302CEE"/>
    <w:rsid w:val="00304896"/>
    <w:rsid w:val="00305985"/>
    <w:rsid w:val="00306686"/>
    <w:rsid w:val="00310CC7"/>
    <w:rsid w:val="00312372"/>
    <w:rsid w:val="003132B1"/>
    <w:rsid w:val="00314D39"/>
    <w:rsid w:val="00315008"/>
    <w:rsid w:val="00315AEF"/>
    <w:rsid w:val="003165A6"/>
    <w:rsid w:val="00317834"/>
    <w:rsid w:val="003215FD"/>
    <w:rsid w:val="00325761"/>
    <w:rsid w:val="00326B06"/>
    <w:rsid w:val="003313BB"/>
    <w:rsid w:val="0033277A"/>
    <w:rsid w:val="00332FED"/>
    <w:rsid w:val="00334B39"/>
    <w:rsid w:val="00334FD9"/>
    <w:rsid w:val="00335190"/>
    <w:rsid w:val="003353C0"/>
    <w:rsid w:val="00335415"/>
    <w:rsid w:val="00336059"/>
    <w:rsid w:val="003363BB"/>
    <w:rsid w:val="003365F7"/>
    <w:rsid w:val="00337087"/>
    <w:rsid w:val="00340107"/>
    <w:rsid w:val="003416A4"/>
    <w:rsid w:val="00342674"/>
    <w:rsid w:val="00342BD9"/>
    <w:rsid w:val="00342DC6"/>
    <w:rsid w:val="00342F8B"/>
    <w:rsid w:val="00343599"/>
    <w:rsid w:val="003448B7"/>
    <w:rsid w:val="00344E2B"/>
    <w:rsid w:val="0034536D"/>
    <w:rsid w:val="00346E0D"/>
    <w:rsid w:val="003474EA"/>
    <w:rsid w:val="00347C9D"/>
    <w:rsid w:val="00351FA8"/>
    <w:rsid w:val="003545A9"/>
    <w:rsid w:val="00354ECE"/>
    <w:rsid w:val="00355B34"/>
    <w:rsid w:val="003560CB"/>
    <w:rsid w:val="003562AE"/>
    <w:rsid w:val="00360752"/>
    <w:rsid w:val="0036132D"/>
    <w:rsid w:val="00361C38"/>
    <w:rsid w:val="00362D6F"/>
    <w:rsid w:val="00364527"/>
    <w:rsid w:val="0037111C"/>
    <w:rsid w:val="00372032"/>
    <w:rsid w:val="00372485"/>
    <w:rsid w:val="00377800"/>
    <w:rsid w:val="00377C3C"/>
    <w:rsid w:val="00377CF2"/>
    <w:rsid w:val="00377D4F"/>
    <w:rsid w:val="00380536"/>
    <w:rsid w:val="0038168E"/>
    <w:rsid w:val="00390F07"/>
    <w:rsid w:val="00391345"/>
    <w:rsid w:val="00391370"/>
    <w:rsid w:val="00392A93"/>
    <w:rsid w:val="003974DF"/>
    <w:rsid w:val="003A275F"/>
    <w:rsid w:val="003A317E"/>
    <w:rsid w:val="003A3AE2"/>
    <w:rsid w:val="003A562A"/>
    <w:rsid w:val="003A790E"/>
    <w:rsid w:val="003A7978"/>
    <w:rsid w:val="003A7B53"/>
    <w:rsid w:val="003A7CB3"/>
    <w:rsid w:val="003A7D27"/>
    <w:rsid w:val="003B0CE9"/>
    <w:rsid w:val="003B1D15"/>
    <w:rsid w:val="003B204D"/>
    <w:rsid w:val="003B3A35"/>
    <w:rsid w:val="003B3C12"/>
    <w:rsid w:val="003B3CB2"/>
    <w:rsid w:val="003B5E79"/>
    <w:rsid w:val="003B6F27"/>
    <w:rsid w:val="003B7993"/>
    <w:rsid w:val="003C0AB3"/>
    <w:rsid w:val="003C2029"/>
    <w:rsid w:val="003C27BE"/>
    <w:rsid w:val="003C3128"/>
    <w:rsid w:val="003C5A75"/>
    <w:rsid w:val="003C7020"/>
    <w:rsid w:val="003C716B"/>
    <w:rsid w:val="003D0B6E"/>
    <w:rsid w:val="003D17B3"/>
    <w:rsid w:val="003D1A77"/>
    <w:rsid w:val="003D1A89"/>
    <w:rsid w:val="003D3C75"/>
    <w:rsid w:val="003D3C7F"/>
    <w:rsid w:val="003D4B15"/>
    <w:rsid w:val="003D4C3D"/>
    <w:rsid w:val="003D6FAB"/>
    <w:rsid w:val="003D7C26"/>
    <w:rsid w:val="003D7D15"/>
    <w:rsid w:val="003E253C"/>
    <w:rsid w:val="003E3481"/>
    <w:rsid w:val="003E35F2"/>
    <w:rsid w:val="003E3B01"/>
    <w:rsid w:val="003E45F9"/>
    <w:rsid w:val="003E56D9"/>
    <w:rsid w:val="003E66EE"/>
    <w:rsid w:val="003E7538"/>
    <w:rsid w:val="003F0010"/>
    <w:rsid w:val="003F0323"/>
    <w:rsid w:val="003F0473"/>
    <w:rsid w:val="003F1704"/>
    <w:rsid w:val="003F2C64"/>
    <w:rsid w:val="003F2D30"/>
    <w:rsid w:val="003F3638"/>
    <w:rsid w:val="003F488F"/>
    <w:rsid w:val="003F4C9A"/>
    <w:rsid w:val="003F5110"/>
    <w:rsid w:val="003F55B9"/>
    <w:rsid w:val="003F6F88"/>
    <w:rsid w:val="003F7B49"/>
    <w:rsid w:val="003F7E1D"/>
    <w:rsid w:val="00400256"/>
    <w:rsid w:val="00401E6B"/>
    <w:rsid w:val="00401F88"/>
    <w:rsid w:val="00402A3A"/>
    <w:rsid w:val="00402F0B"/>
    <w:rsid w:val="00403526"/>
    <w:rsid w:val="00403975"/>
    <w:rsid w:val="00403F17"/>
    <w:rsid w:val="004047C4"/>
    <w:rsid w:val="004066AB"/>
    <w:rsid w:val="00407944"/>
    <w:rsid w:val="00411FDA"/>
    <w:rsid w:val="00412B3E"/>
    <w:rsid w:val="004149B1"/>
    <w:rsid w:val="0041694F"/>
    <w:rsid w:val="00417770"/>
    <w:rsid w:val="0041791A"/>
    <w:rsid w:val="00420EC6"/>
    <w:rsid w:val="00421C38"/>
    <w:rsid w:val="00423F62"/>
    <w:rsid w:val="00424FBD"/>
    <w:rsid w:val="0042521E"/>
    <w:rsid w:val="0042558C"/>
    <w:rsid w:val="004262F1"/>
    <w:rsid w:val="0042770D"/>
    <w:rsid w:val="0042795D"/>
    <w:rsid w:val="00427D1D"/>
    <w:rsid w:val="00430BF9"/>
    <w:rsid w:val="004319F0"/>
    <w:rsid w:val="00432EBD"/>
    <w:rsid w:val="00433497"/>
    <w:rsid w:val="00433C5A"/>
    <w:rsid w:val="004342DC"/>
    <w:rsid w:val="00436C48"/>
    <w:rsid w:val="00437489"/>
    <w:rsid w:val="004375E7"/>
    <w:rsid w:val="00437C5A"/>
    <w:rsid w:val="00440F35"/>
    <w:rsid w:val="00442311"/>
    <w:rsid w:val="004428A3"/>
    <w:rsid w:val="00442D99"/>
    <w:rsid w:val="00442EB6"/>
    <w:rsid w:val="004436B3"/>
    <w:rsid w:val="004444F3"/>
    <w:rsid w:val="00445B2A"/>
    <w:rsid w:val="0044738A"/>
    <w:rsid w:val="00450B4F"/>
    <w:rsid w:val="00451030"/>
    <w:rsid w:val="004518DA"/>
    <w:rsid w:val="00451DAC"/>
    <w:rsid w:val="004546FD"/>
    <w:rsid w:val="00455FD3"/>
    <w:rsid w:val="004567D1"/>
    <w:rsid w:val="00460052"/>
    <w:rsid w:val="00460F8E"/>
    <w:rsid w:val="00461561"/>
    <w:rsid w:val="00462046"/>
    <w:rsid w:val="004629B9"/>
    <w:rsid w:val="0046353B"/>
    <w:rsid w:val="004645C0"/>
    <w:rsid w:val="0046545F"/>
    <w:rsid w:val="00466F38"/>
    <w:rsid w:val="0046762D"/>
    <w:rsid w:val="00470168"/>
    <w:rsid w:val="00470DA3"/>
    <w:rsid w:val="0047326D"/>
    <w:rsid w:val="00474D43"/>
    <w:rsid w:val="00475D46"/>
    <w:rsid w:val="00475D50"/>
    <w:rsid w:val="00475FF0"/>
    <w:rsid w:val="0048048C"/>
    <w:rsid w:val="004817AD"/>
    <w:rsid w:val="0048192E"/>
    <w:rsid w:val="00482AEA"/>
    <w:rsid w:val="00484B80"/>
    <w:rsid w:val="00484FB9"/>
    <w:rsid w:val="00485004"/>
    <w:rsid w:val="004856E5"/>
    <w:rsid w:val="00485D87"/>
    <w:rsid w:val="00485DA6"/>
    <w:rsid w:val="00487513"/>
    <w:rsid w:val="00487965"/>
    <w:rsid w:val="00490D7E"/>
    <w:rsid w:val="004922C7"/>
    <w:rsid w:val="004928E2"/>
    <w:rsid w:val="00492AE1"/>
    <w:rsid w:val="00492B73"/>
    <w:rsid w:val="00493BC8"/>
    <w:rsid w:val="00494B33"/>
    <w:rsid w:val="00494D3B"/>
    <w:rsid w:val="00495A3B"/>
    <w:rsid w:val="004960C3"/>
    <w:rsid w:val="00496174"/>
    <w:rsid w:val="004A076C"/>
    <w:rsid w:val="004A0A23"/>
    <w:rsid w:val="004A1B6C"/>
    <w:rsid w:val="004A3079"/>
    <w:rsid w:val="004A39E2"/>
    <w:rsid w:val="004B055F"/>
    <w:rsid w:val="004B0C26"/>
    <w:rsid w:val="004B21B9"/>
    <w:rsid w:val="004B3894"/>
    <w:rsid w:val="004B4D96"/>
    <w:rsid w:val="004B5EFB"/>
    <w:rsid w:val="004B5F50"/>
    <w:rsid w:val="004B5F73"/>
    <w:rsid w:val="004B6827"/>
    <w:rsid w:val="004B6FEF"/>
    <w:rsid w:val="004B77C5"/>
    <w:rsid w:val="004B7B93"/>
    <w:rsid w:val="004C0A95"/>
    <w:rsid w:val="004C1B9A"/>
    <w:rsid w:val="004C2572"/>
    <w:rsid w:val="004C3264"/>
    <w:rsid w:val="004C32D4"/>
    <w:rsid w:val="004C369D"/>
    <w:rsid w:val="004C4657"/>
    <w:rsid w:val="004C530D"/>
    <w:rsid w:val="004C5E19"/>
    <w:rsid w:val="004C5EC8"/>
    <w:rsid w:val="004C62D2"/>
    <w:rsid w:val="004C6780"/>
    <w:rsid w:val="004D1F19"/>
    <w:rsid w:val="004D2556"/>
    <w:rsid w:val="004D5D24"/>
    <w:rsid w:val="004E1412"/>
    <w:rsid w:val="004E1969"/>
    <w:rsid w:val="004E271B"/>
    <w:rsid w:val="004E2C36"/>
    <w:rsid w:val="004E34E2"/>
    <w:rsid w:val="004E384D"/>
    <w:rsid w:val="004E53AD"/>
    <w:rsid w:val="004E5490"/>
    <w:rsid w:val="004F13CF"/>
    <w:rsid w:val="004F1464"/>
    <w:rsid w:val="004F23C8"/>
    <w:rsid w:val="004F373D"/>
    <w:rsid w:val="004F41CD"/>
    <w:rsid w:val="004F4CA0"/>
    <w:rsid w:val="004F54E6"/>
    <w:rsid w:val="004F5539"/>
    <w:rsid w:val="004F7F1E"/>
    <w:rsid w:val="005011BB"/>
    <w:rsid w:val="005027A8"/>
    <w:rsid w:val="0050376A"/>
    <w:rsid w:val="005049AB"/>
    <w:rsid w:val="00512BCD"/>
    <w:rsid w:val="00515A9A"/>
    <w:rsid w:val="00515F03"/>
    <w:rsid w:val="00516E5E"/>
    <w:rsid w:val="00516F47"/>
    <w:rsid w:val="0052023A"/>
    <w:rsid w:val="00520FFA"/>
    <w:rsid w:val="00522582"/>
    <w:rsid w:val="00522C19"/>
    <w:rsid w:val="00524A55"/>
    <w:rsid w:val="00526727"/>
    <w:rsid w:val="00535823"/>
    <w:rsid w:val="00535A3F"/>
    <w:rsid w:val="00536497"/>
    <w:rsid w:val="005366AC"/>
    <w:rsid w:val="0053768C"/>
    <w:rsid w:val="00537F32"/>
    <w:rsid w:val="0054049D"/>
    <w:rsid w:val="00540714"/>
    <w:rsid w:val="00540876"/>
    <w:rsid w:val="005409B7"/>
    <w:rsid w:val="00540C16"/>
    <w:rsid w:val="00543269"/>
    <w:rsid w:val="00544EC0"/>
    <w:rsid w:val="0054564B"/>
    <w:rsid w:val="00545B4C"/>
    <w:rsid w:val="005463AD"/>
    <w:rsid w:val="00546E47"/>
    <w:rsid w:val="0055199C"/>
    <w:rsid w:val="005533C8"/>
    <w:rsid w:val="0055364D"/>
    <w:rsid w:val="00553D46"/>
    <w:rsid w:val="00554DD0"/>
    <w:rsid w:val="00554ED0"/>
    <w:rsid w:val="00556A83"/>
    <w:rsid w:val="00556CCF"/>
    <w:rsid w:val="00556CE0"/>
    <w:rsid w:val="005571B0"/>
    <w:rsid w:val="00557DD4"/>
    <w:rsid w:val="00560497"/>
    <w:rsid w:val="00560990"/>
    <w:rsid w:val="005620D3"/>
    <w:rsid w:val="00562CB2"/>
    <w:rsid w:val="00562FCF"/>
    <w:rsid w:val="0056320B"/>
    <w:rsid w:val="005637CE"/>
    <w:rsid w:val="00564EF7"/>
    <w:rsid w:val="00565188"/>
    <w:rsid w:val="00565877"/>
    <w:rsid w:val="005662A4"/>
    <w:rsid w:val="00566D2E"/>
    <w:rsid w:val="005675BD"/>
    <w:rsid w:val="00567EA0"/>
    <w:rsid w:val="005712DA"/>
    <w:rsid w:val="0057207C"/>
    <w:rsid w:val="0057214E"/>
    <w:rsid w:val="0057281B"/>
    <w:rsid w:val="005736BB"/>
    <w:rsid w:val="005759CA"/>
    <w:rsid w:val="005760D0"/>
    <w:rsid w:val="00576387"/>
    <w:rsid w:val="005768F9"/>
    <w:rsid w:val="0058050F"/>
    <w:rsid w:val="0058102F"/>
    <w:rsid w:val="005845F7"/>
    <w:rsid w:val="00584CB9"/>
    <w:rsid w:val="00586080"/>
    <w:rsid w:val="00586C7A"/>
    <w:rsid w:val="00587419"/>
    <w:rsid w:val="00591DA7"/>
    <w:rsid w:val="005925B7"/>
    <w:rsid w:val="00592613"/>
    <w:rsid w:val="00593C9D"/>
    <w:rsid w:val="00594A3E"/>
    <w:rsid w:val="00594E31"/>
    <w:rsid w:val="00595B6B"/>
    <w:rsid w:val="0059615C"/>
    <w:rsid w:val="005A1B40"/>
    <w:rsid w:val="005A21F7"/>
    <w:rsid w:val="005A24E3"/>
    <w:rsid w:val="005A40D1"/>
    <w:rsid w:val="005A43EA"/>
    <w:rsid w:val="005A5833"/>
    <w:rsid w:val="005A616B"/>
    <w:rsid w:val="005A6D6C"/>
    <w:rsid w:val="005A6EEE"/>
    <w:rsid w:val="005B5548"/>
    <w:rsid w:val="005B636A"/>
    <w:rsid w:val="005B6CF3"/>
    <w:rsid w:val="005C0548"/>
    <w:rsid w:val="005C07EA"/>
    <w:rsid w:val="005C0DF6"/>
    <w:rsid w:val="005C0FD4"/>
    <w:rsid w:val="005C39E3"/>
    <w:rsid w:val="005C3ADD"/>
    <w:rsid w:val="005C476A"/>
    <w:rsid w:val="005C6179"/>
    <w:rsid w:val="005C7181"/>
    <w:rsid w:val="005C794F"/>
    <w:rsid w:val="005C7A12"/>
    <w:rsid w:val="005D08EB"/>
    <w:rsid w:val="005D582B"/>
    <w:rsid w:val="005D657A"/>
    <w:rsid w:val="005D70C4"/>
    <w:rsid w:val="005D7CD7"/>
    <w:rsid w:val="005E0016"/>
    <w:rsid w:val="005E041D"/>
    <w:rsid w:val="005E4267"/>
    <w:rsid w:val="005E44DC"/>
    <w:rsid w:val="005E52A1"/>
    <w:rsid w:val="005E5E6A"/>
    <w:rsid w:val="005E64E5"/>
    <w:rsid w:val="005E6E06"/>
    <w:rsid w:val="005F0471"/>
    <w:rsid w:val="005F1273"/>
    <w:rsid w:val="005F13C0"/>
    <w:rsid w:val="005F161B"/>
    <w:rsid w:val="005F2CDC"/>
    <w:rsid w:val="005F3BDA"/>
    <w:rsid w:val="005F4929"/>
    <w:rsid w:val="005F56DC"/>
    <w:rsid w:val="005F6C9F"/>
    <w:rsid w:val="005F6E15"/>
    <w:rsid w:val="005F752D"/>
    <w:rsid w:val="005F7B42"/>
    <w:rsid w:val="005F7F74"/>
    <w:rsid w:val="0060212F"/>
    <w:rsid w:val="006023BA"/>
    <w:rsid w:val="0060494A"/>
    <w:rsid w:val="00605672"/>
    <w:rsid w:val="006057B4"/>
    <w:rsid w:val="00605AF7"/>
    <w:rsid w:val="00606474"/>
    <w:rsid w:val="00610E79"/>
    <w:rsid w:val="006113B6"/>
    <w:rsid w:val="00612D51"/>
    <w:rsid w:val="00613717"/>
    <w:rsid w:val="0061499E"/>
    <w:rsid w:val="0061532E"/>
    <w:rsid w:val="0061598C"/>
    <w:rsid w:val="00615C60"/>
    <w:rsid w:val="0061693E"/>
    <w:rsid w:val="00617751"/>
    <w:rsid w:val="0062379E"/>
    <w:rsid w:val="006246B3"/>
    <w:rsid w:val="0062623E"/>
    <w:rsid w:val="0062648F"/>
    <w:rsid w:val="006309FA"/>
    <w:rsid w:val="006312DA"/>
    <w:rsid w:val="0063190D"/>
    <w:rsid w:val="00631B9F"/>
    <w:rsid w:val="00631FE8"/>
    <w:rsid w:val="006322EF"/>
    <w:rsid w:val="00632F72"/>
    <w:rsid w:val="0063300E"/>
    <w:rsid w:val="006334C0"/>
    <w:rsid w:val="00633FBB"/>
    <w:rsid w:val="00635541"/>
    <w:rsid w:val="00635596"/>
    <w:rsid w:val="006357E0"/>
    <w:rsid w:val="006359DE"/>
    <w:rsid w:val="00635A39"/>
    <w:rsid w:val="00635E9C"/>
    <w:rsid w:val="00636E67"/>
    <w:rsid w:val="006371D7"/>
    <w:rsid w:val="00637F1A"/>
    <w:rsid w:val="0064202E"/>
    <w:rsid w:val="00642B4C"/>
    <w:rsid w:val="006432F3"/>
    <w:rsid w:val="00643C38"/>
    <w:rsid w:val="006444C6"/>
    <w:rsid w:val="006448FE"/>
    <w:rsid w:val="00644F2E"/>
    <w:rsid w:val="0064559B"/>
    <w:rsid w:val="00645B15"/>
    <w:rsid w:val="00645E11"/>
    <w:rsid w:val="00646F70"/>
    <w:rsid w:val="0064728D"/>
    <w:rsid w:val="00647FA6"/>
    <w:rsid w:val="00647FEB"/>
    <w:rsid w:val="00650653"/>
    <w:rsid w:val="006529D5"/>
    <w:rsid w:val="00652FE6"/>
    <w:rsid w:val="006536C2"/>
    <w:rsid w:val="00653C45"/>
    <w:rsid w:val="00654FAE"/>
    <w:rsid w:val="00655F84"/>
    <w:rsid w:val="006563A4"/>
    <w:rsid w:val="00656ADB"/>
    <w:rsid w:val="00656D7A"/>
    <w:rsid w:val="00657CEA"/>
    <w:rsid w:val="006601FE"/>
    <w:rsid w:val="006606E5"/>
    <w:rsid w:val="006616EB"/>
    <w:rsid w:val="00663432"/>
    <w:rsid w:val="00663D34"/>
    <w:rsid w:val="006650BB"/>
    <w:rsid w:val="00666219"/>
    <w:rsid w:val="00666979"/>
    <w:rsid w:val="006672A9"/>
    <w:rsid w:val="00667E3C"/>
    <w:rsid w:val="00667E83"/>
    <w:rsid w:val="00670CD1"/>
    <w:rsid w:val="00672862"/>
    <w:rsid w:val="0067354D"/>
    <w:rsid w:val="00673864"/>
    <w:rsid w:val="00674251"/>
    <w:rsid w:val="006746FA"/>
    <w:rsid w:val="00675774"/>
    <w:rsid w:val="006770AF"/>
    <w:rsid w:val="006774C7"/>
    <w:rsid w:val="00677D25"/>
    <w:rsid w:val="00677DEE"/>
    <w:rsid w:val="00680259"/>
    <w:rsid w:val="00681DB3"/>
    <w:rsid w:val="0068241B"/>
    <w:rsid w:val="00682577"/>
    <w:rsid w:val="0068341C"/>
    <w:rsid w:val="006841BC"/>
    <w:rsid w:val="00684F39"/>
    <w:rsid w:val="006859B4"/>
    <w:rsid w:val="00686F1D"/>
    <w:rsid w:val="00687416"/>
    <w:rsid w:val="006879DA"/>
    <w:rsid w:val="00690FB3"/>
    <w:rsid w:val="00691502"/>
    <w:rsid w:val="00691A63"/>
    <w:rsid w:val="0069224A"/>
    <w:rsid w:val="00694376"/>
    <w:rsid w:val="006944A4"/>
    <w:rsid w:val="0069482A"/>
    <w:rsid w:val="00694C7D"/>
    <w:rsid w:val="00694DCE"/>
    <w:rsid w:val="00695C70"/>
    <w:rsid w:val="00695E39"/>
    <w:rsid w:val="00696AE4"/>
    <w:rsid w:val="006978DC"/>
    <w:rsid w:val="00697C68"/>
    <w:rsid w:val="00697E08"/>
    <w:rsid w:val="006A0335"/>
    <w:rsid w:val="006A0367"/>
    <w:rsid w:val="006A178B"/>
    <w:rsid w:val="006A1A8D"/>
    <w:rsid w:val="006A2D98"/>
    <w:rsid w:val="006A5AFA"/>
    <w:rsid w:val="006B1FE1"/>
    <w:rsid w:val="006B29E1"/>
    <w:rsid w:val="006B4710"/>
    <w:rsid w:val="006B4D1C"/>
    <w:rsid w:val="006B7336"/>
    <w:rsid w:val="006B7641"/>
    <w:rsid w:val="006B7FE0"/>
    <w:rsid w:val="006C12A5"/>
    <w:rsid w:val="006C349E"/>
    <w:rsid w:val="006C3657"/>
    <w:rsid w:val="006C3E01"/>
    <w:rsid w:val="006C4102"/>
    <w:rsid w:val="006C6D0B"/>
    <w:rsid w:val="006C6F24"/>
    <w:rsid w:val="006D1682"/>
    <w:rsid w:val="006D3255"/>
    <w:rsid w:val="006D43E7"/>
    <w:rsid w:val="006D47D6"/>
    <w:rsid w:val="006D4EA6"/>
    <w:rsid w:val="006D58DB"/>
    <w:rsid w:val="006D6386"/>
    <w:rsid w:val="006D7C49"/>
    <w:rsid w:val="006E020A"/>
    <w:rsid w:val="006E0F31"/>
    <w:rsid w:val="006E1123"/>
    <w:rsid w:val="006E2CAB"/>
    <w:rsid w:val="006E2E48"/>
    <w:rsid w:val="006E3724"/>
    <w:rsid w:val="006E3E7C"/>
    <w:rsid w:val="006E6232"/>
    <w:rsid w:val="006F126F"/>
    <w:rsid w:val="006F1E5A"/>
    <w:rsid w:val="006F2626"/>
    <w:rsid w:val="006F352C"/>
    <w:rsid w:val="006F377D"/>
    <w:rsid w:val="006F46DB"/>
    <w:rsid w:val="006F61DC"/>
    <w:rsid w:val="006F7D8B"/>
    <w:rsid w:val="0070045F"/>
    <w:rsid w:val="00700C35"/>
    <w:rsid w:val="00701D20"/>
    <w:rsid w:val="00701DF1"/>
    <w:rsid w:val="00702215"/>
    <w:rsid w:val="0070420E"/>
    <w:rsid w:val="0070469E"/>
    <w:rsid w:val="00705126"/>
    <w:rsid w:val="0070529A"/>
    <w:rsid w:val="007062A5"/>
    <w:rsid w:val="0070641F"/>
    <w:rsid w:val="00707206"/>
    <w:rsid w:val="00713C7F"/>
    <w:rsid w:val="00713F8F"/>
    <w:rsid w:val="007149D1"/>
    <w:rsid w:val="00715EB6"/>
    <w:rsid w:val="00716C87"/>
    <w:rsid w:val="00720CFB"/>
    <w:rsid w:val="00720ED9"/>
    <w:rsid w:val="00722CD1"/>
    <w:rsid w:val="00722FE6"/>
    <w:rsid w:val="00723272"/>
    <w:rsid w:val="00723C1D"/>
    <w:rsid w:val="007242C2"/>
    <w:rsid w:val="00724845"/>
    <w:rsid w:val="00725514"/>
    <w:rsid w:val="007269E0"/>
    <w:rsid w:val="00727D37"/>
    <w:rsid w:val="007305A9"/>
    <w:rsid w:val="00730A67"/>
    <w:rsid w:val="00730D46"/>
    <w:rsid w:val="00730D9E"/>
    <w:rsid w:val="0073253E"/>
    <w:rsid w:val="00733054"/>
    <w:rsid w:val="007336C9"/>
    <w:rsid w:val="00734208"/>
    <w:rsid w:val="00734A9B"/>
    <w:rsid w:val="0073538F"/>
    <w:rsid w:val="00735A12"/>
    <w:rsid w:val="00736373"/>
    <w:rsid w:val="007368DF"/>
    <w:rsid w:val="0073699C"/>
    <w:rsid w:val="00736ECC"/>
    <w:rsid w:val="0073701F"/>
    <w:rsid w:val="0073755F"/>
    <w:rsid w:val="007401E8"/>
    <w:rsid w:val="007409A7"/>
    <w:rsid w:val="00740CDA"/>
    <w:rsid w:val="007414A2"/>
    <w:rsid w:val="00741DAD"/>
    <w:rsid w:val="007420ED"/>
    <w:rsid w:val="00743DA1"/>
    <w:rsid w:val="00743F86"/>
    <w:rsid w:val="00745F12"/>
    <w:rsid w:val="007504DE"/>
    <w:rsid w:val="00750C94"/>
    <w:rsid w:val="007538B7"/>
    <w:rsid w:val="00753C89"/>
    <w:rsid w:val="0075521E"/>
    <w:rsid w:val="00756B07"/>
    <w:rsid w:val="0075743F"/>
    <w:rsid w:val="00757EAA"/>
    <w:rsid w:val="00757F5E"/>
    <w:rsid w:val="0076056B"/>
    <w:rsid w:val="0076084C"/>
    <w:rsid w:val="00760D32"/>
    <w:rsid w:val="00761357"/>
    <w:rsid w:val="0076136B"/>
    <w:rsid w:val="0076198B"/>
    <w:rsid w:val="00763CBE"/>
    <w:rsid w:val="00764759"/>
    <w:rsid w:val="0076480E"/>
    <w:rsid w:val="00764986"/>
    <w:rsid w:val="00765458"/>
    <w:rsid w:val="0076659E"/>
    <w:rsid w:val="00770610"/>
    <w:rsid w:val="007710AB"/>
    <w:rsid w:val="00771AC4"/>
    <w:rsid w:val="007729FA"/>
    <w:rsid w:val="00773BBF"/>
    <w:rsid w:val="00773D18"/>
    <w:rsid w:val="00773D24"/>
    <w:rsid w:val="00774C0D"/>
    <w:rsid w:val="00775034"/>
    <w:rsid w:val="007760A3"/>
    <w:rsid w:val="00776335"/>
    <w:rsid w:val="00780552"/>
    <w:rsid w:val="007807E7"/>
    <w:rsid w:val="007812FA"/>
    <w:rsid w:val="007814EF"/>
    <w:rsid w:val="00781793"/>
    <w:rsid w:val="00782930"/>
    <w:rsid w:val="00783F33"/>
    <w:rsid w:val="00784763"/>
    <w:rsid w:val="00784E11"/>
    <w:rsid w:val="007864ED"/>
    <w:rsid w:val="00787072"/>
    <w:rsid w:val="007879A7"/>
    <w:rsid w:val="00791DDD"/>
    <w:rsid w:val="007945A8"/>
    <w:rsid w:val="00796336"/>
    <w:rsid w:val="007966E5"/>
    <w:rsid w:val="00796B30"/>
    <w:rsid w:val="00796FC9"/>
    <w:rsid w:val="00797667"/>
    <w:rsid w:val="007977B9"/>
    <w:rsid w:val="00797B0E"/>
    <w:rsid w:val="00797B3A"/>
    <w:rsid w:val="007A0738"/>
    <w:rsid w:val="007A09F2"/>
    <w:rsid w:val="007A1E4D"/>
    <w:rsid w:val="007A2AC2"/>
    <w:rsid w:val="007A45CD"/>
    <w:rsid w:val="007A4E20"/>
    <w:rsid w:val="007A5C01"/>
    <w:rsid w:val="007A74A6"/>
    <w:rsid w:val="007A7851"/>
    <w:rsid w:val="007B0F45"/>
    <w:rsid w:val="007B169D"/>
    <w:rsid w:val="007B31BD"/>
    <w:rsid w:val="007B5227"/>
    <w:rsid w:val="007B5D5D"/>
    <w:rsid w:val="007B601B"/>
    <w:rsid w:val="007B6151"/>
    <w:rsid w:val="007B651B"/>
    <w:rsid w:val="007B6C81"/>
    <w:rsid w:val="007C0830"/>
    <w:rsid w:val="007C1190"/>
    <w:rsid w:val="007C2573"/>
    <w:rsid w:val="007C2634"/>
    <w:rsid w:val="007C2D00"/>
    <w:rsid w:val="007C2EC7"/>
    <w:rsid w:val="007C35D2"/>
    <w:rsid w:val="007C6785"/>
    <w:rsid w:val="007C6C4E"/>
    <w:rsid w:val="007D0367"/>
    <w:rsid w:val="007D0B38"/>
    <w:rsid w:val="007D2144"/>
    <w:rsid w:val="007D67CB"/>
    <w:rsid w:val="007D68A4"/>
    <w:rsid w:val="007D69DF"/>
    <w:rsid w:val="007E1DE6"/>
    <w:rsid w:val="007E21BE"/>
    <w:rsid w:val="007E2FB5"/>
    <w:rsid w:val="007E30EC"/>
    <w:rsid w:val="007E351C"/>
    <w:rsid w:val="007E3724"/>
    <w:rsid w:val="007E44A9"/>
    <w:rsid w:val="007E4D90"/>
    <w:rsid w:val="007E51EB"/>
    <w:rsid w:val="007E603B"/>
    <w:rsid w:val="007E6277"/>
    <w:rsid w:val="007E6866"/>
    <w:rsid w:val="007E6B90"/>
    <w:rsid w:val="007E7307"/>
    <w:rsid w:val="007E7B46"/>
    <w:rsid w:val="007F1DAF"/>
    <w:rsid w:val="007F3D0E"/>
    <w:rsid w:val="007F55F7"/>
    <w:rsid w:val="007F6F21"/>
    <w:rsid w:val="007F718C"/>
    <w:rsid w:val="008005B8"/>
    <w:rsid w:val="008017A5"/>
    <w:rsid w:val="00801C72"/>
    <w:rsid w:val="00803852"/>
    <w:rsid w:val="008038CD"/>
    <w:rsid w:val="0080479F"/>
    <w:rsid w:val="00804A2E"/>
    <w:rsid w:val="00804D65"/>
    <w:rsid w:val="00807C20"/>
    <w:rsid w:val="00810033"/>
    <w:rsid w:val="008101ED"/>
    <w:rsid w:val="00810AA5"/>
    <w:rsid w:val="00810C11"/>
    <w:rsid w:val="00811704"/>
    <w:rsid w:val="0081184E"/>
    <w:rsid w:val="00811C56"/>
    <w:rsid w:val="0081355A"/>
    <w:rsid w:val="0081465C"/>
    <w:rsid w:val="00815534"/>
    <w:rsid w:val="00815697"/>
    <w:rsid w:val="00815F85"/>
    <w:rsid w:val="00816865"/>
    <w:rsid w:val="008213E1"/>
    <w:rsid w:val="00821B06"/>
    <w:rsid w:val="00822B04"/>
    <w:rsid w:val="00822BA3"/>
    <w:rsid w:val="00823AEB"/>
    <w:rsid w:val="00824103"/>
    <w:rsid w:val="00825353"/>
    <w:rsid w:val="00825480"/>
    <w:rsid w:val="00825D24"/>
    <w:rsid w:val="00825EC0"/>
    <w:rsid w:val="0082736F"/>
    <w:rsid w:val="00830A0C"/>
    <w:rsid w:val="00830BFA"/>
    <w:rsid w:val="00830F9F"/>
    <w:rsid w:val="0083146B"/>
    <w:rsid w:val="00831B0D"/>
    <w:rsid w:val="00831FF5"/>
    <w:rsid w:val="008357CD"/>
    <w:rsid w:val="00836755"/>
    <w:rsid w:val="00836D5B"/>
    <w:rsid w:val="00836F34"/>
    <w:rsid w:val="0083798E"/>
    <w:rsid w:val="00841636"/>
    <w:rsid w:val="00842E5C"/>
    <w:rsid w:val="008431B0"/>
    <w:rsid w:val="00845E35"/>
    <w:rsid w:val="008468F1"/>
    <w:rsid w:val="0085262D"/>
    <w:rsid w:val="008539ED"/>
    <w:rsid w:val="0085457E"/>
    <w:rsid w:val="00854730"/>
    <w:rsid w:val="008550B4"/>
    <w:rsid w:val="00855675"/>
    <w:rsid w:val="00855E08"/>
    <w:rsid w:val="00856A43"/>
    <w:rsid w:val="00860940"/>
    <w:rsid w:val="0086113F"/>
    <w:rsid w:val="0086166F"/>
    <w:rsid w:val="00862F9D"/>
    <w:rsid w:val="00864B8A"/>
    <w:rsid w:val="008658F3"/>
    <w:rsid w:val="00865AEA"/>
    <w:rsid w:val="00865AFB"/>
    <w:rsid w:val="00866007"/>
    <w:rsid w:val="0086775E"/>
    <w:rsid w:val="00870586"/>
    <w:rsid w:val="00873D1B"/>
    <w:rsid w:val="00874339"/>
    <w:rsid w:val="00875660"/>
    <w:rsid w:val="008757E2"/>
    <w:rsid w:val="00877818"/>
    <w:rsid w:val="00877B49"/>
    <w:rsid w:val="00880440"/>
    <w:rsid w:val="00880AD1"/>
    <w:rsid w:val="00880E04"/>
    <w:rsid w:val="00881A97"/>
    <w:rsid w:val="00882279"/>
    <w:rsid w:val="00882F70"/>
    <w:rsid w:val="00884D19"/>
    <w:rsid w:val="00885600"/>
    <w:rsid w:val="008856C0"/>
    <w:rsid w:val="00885EFC"/>
    <w:rsid w:val="008869D0"/>
    <w:rsid w:val="00886FA6"/>
    <w:rsid w:val="00887257"/>
    <w:rsid w:val="00887DF7"/>
    <w:rsid w:val="008907D1"/>
    <w:rsid w:val="008925D3"/>
    <w:rsid w:val="008948DB"/>
    <w:rsid w:val="0089722F"/>
    <w:rsid w:val="0089736E"/>
    <w:rsid w:val="008A021E"/>
    <w:rsid w:val="008A06A4"/>
    <w:rsid w:val="008A075F"/>
    <w:rsid w:val="008A1189"/>
    <w:rsid w:val="008A1FFC"/>
    <w:rsid w:val="008A22D2"/>
    <w:rsid w:val="008A22F4"/>
    <w:rsid w:val="008A3A35"/>
    <w:rsid w:val="008A4529"/>
    <w:rsid w:val="008A58D6"/>
    <w:rsid w:val="008A5CCF"/>
    <w:rsid w:val="008A6609"/>
    <w:rsid w:val="008A731D"/>
    <w:rsid w:val="008B040E"/>
    <w:rsid w:val="008B1AD0"/>
    <w:rsid w:val="008B21C1"/>
    <w:rsid w:val="008B358B"/>
    <w:rsid w:val="008B6131"/>
    <w:rsid w:val="008B62C3"/>
    <w:rsid w:val="008B7C9D"/>
    <w:rsid w:val="008C0337"/>
    <w:rsid w:val="008C0B0E"/>
    <w:rsid w:val="008C1144"/>
    <w:rsid w:val="008C27A2"/>
    <w:rsid w:val="008C3069"/>
    <w:rsid w:val="008C3362"/>
    <w:rsid w:val="008C382F"/>
    <w:rsid w:val="008C4568"/>
    <w:rsid w:val="008C501C"/>
    <w:rsid w:val="008C5117"/>
    <w:rsid w:val="008C6362"/>
    <w:rsid w:val="008C7256"/>
    <w:rsid w:val="008D0743"/>
    <w:rsid w:val="008D2F9C"/>
    <w:rsid w:val="008D39E6"/>
    <w:rsid w:val="008D5BB5"/>
    <w:rsid w:val="008D6AA7"/>
    <w:rsid w:val="008D7260"/>
    <w:rsid w:val="008D7A9F"/>
    <w:rsid w:val="008E0D66"/>
    <w:rsid w:val="008E16D2"/>
    <w:rsid w:val="008E2713"/>
    <w:rsid w:val="008E28DC"/>
    <w:rsid w:val="008E5FC8"/>
    <w:rsid w:val="008F0AA2"/>
    <w:rsid w:val="008F0B83"/>
    <w:rsid w:val="008F28D1"/>
    <w:rsid w:val="008F353B"/>
    <w:rsid w:val="008F38B9"/>
    <w:rsid w:val="008F4FC7"/>
    <w:rsid w:val="008F54BA"/>
    <w:rsid w:val="008F5C97"/>
    <w:rsid w:val="008F70C3"/>
    <w:rsid w:val="008F7133"/>
    <w:rsid w:val="009002AD"/>
    <w:rsid w:val="0090245C"/>
    <w:rsid w:val="0090292B"/>
    <w:rsid w:val="009033FA"/>
    <w:rsid w:val="00903F56"/>
    <w:rsid w:val="00904594"/>
    <w:rsid w:val="009050AD"/>
    <w:rsid w:val="00905273"/>
    <w:rsid w:val="00906069"/>
    <w:rsid w:val="00906171"/>
    <w:rsid w:val="0090710E"/>
    <w:rsid w:val="0090773E"/>
    <w:rsid w:val="00907813"/>
    <w:rsid w:val="009100FE"/>
    <w:rsid w:val="0091153C"/>
    <w:rsid w:val="009122A4"/>
    <w:rsid w:val="00913FEC"/>
    <w:rsid w:val="00915840"/>
    <w:rsid w:val="00916251"/>
    <w:rsid w:val="00917230"/>
    <w:rsid w:val="00917BF7"/>
    <w:rsid w:val="00921AE8"/>
    <w:rsid w:val="00921CC7"/>
    <w:rsid w:val="00921F5F"/>
    <w:rsid w:val="00922519"/>
    <w:rsid w:val="00922A67"/>
    <w:rsid w:val="00924E4C"/>
    <w:rsid w:val="009273DF"/>
    <w:rsid w:val="00927687"/>
    <w:rsid w:val="0093002F"/>
    <w:rsid w:val="009315A0"/>
    <w:rsid w:val="009327F1"/>
    <w:rsid w:val="0093339F"/>
    <w:rsid w:val="00933744"/>
    <w:rsid w:val="00933B1C"/>
    <w:rsid w:val="00934489"/>
    <w:rsid w:val="00934C43"/>
    <w:rsid w:val="00935DB4"/>
    <w:rsid w:val="00935E82"/>
    <w:rsid w:val="00936478"/>
    <w:rsid w:val="00937990"/>
    <w:rsid w:val="009379CB"/>
    <w:rsid w:val="00937D6A"/>
    <w:rsid w:val="009454D3"/>
    <w:rsid w:val="00946085"/>
    <w:rsid w:val="00946156"/>
    <w:rsid w:val="0094700D"/>
    <w:rsid w:val="009470B0"/>
    <w:rsid w:val="009479DD"/>
    <w:rsid w:val="009479F4"/>
    <w:rsid w:val="00950911"/>
    <w:rsid w:val="00951D1C"/>
    <w:rsid w:val="00951DBE"/>
    <w:rsid w:val="009520A9"/>
    <w:rsid w:val="0095377A"/>
    <w:rsid w:val="00953E6D"/>
    <w:rsid w:val="00954421"/>
    <w:rsid w:val="00954B5D"/>
    <w:rsid w:val="009555AC"/>
    <w:rsid w:val="009567C8"/>
    <w:rsid w:val="009569AB"/>
    <w:rsid w:val="0095787D"/>
    <w:rsid w:val="00957B26"/>
    <w:rsid w:val="00957B78"/>
    <w:rsid w:val="00957BF2"/>
    <w:rsid w:val="00960131"/>
    <w:rsid w:val="009632A3"/>
    <w:rsid w:val="00963635"/>
    <w:rsid w:val="00964072"/>
    <w:rsid w:val="009644D4"/>
    <w:rsid w:val="009645FD"/>
    <w:rsid w:val="00965E23"/>
    <w:rsid w:val="00966115"/>
    <w:rsid w:val="009665F0"/>
    <w:rsid w:val="00967662"/>
    <w:rsid w:val="00970B5E"/>
    <w:rsid w:val="0097250A"/>
    <w:rsid w:val="009730BA"/>
    <w:rsid w:val="0097364E"/>
    <w:rsid w:val="00975618"/>
    <w:rsid w:val="00975D17"/>
    <w:rsid w:val="00975DB5"/>
    <w:rsid w:val="009761A7"/>
    <w:rsid w:val="0097714B"/>
    <w:rsid w:val="00982AC7"/>
    <w:rsid w:val="00983AFB"/>
    <w:rsid w:val="00983B72"/>
    <w:rsid w:val="009841E2"/>
    <w:rsid w:val="009849E8"/>
    <w:rsid w:val="00984E3D"/>
    <w:rsid w:val="009859B1"/>
    <w:rsid w:val="009874A1"/>
    <w:rsid w:val="009879E5"/>
    <w:rsid w:val="00987DBF"/>
    <w:rsid w:val="00990752"/>
    <w:rsid w:val="00990C65"/>
    <w:rsid w:val="00991CCB"/>
    <w:rsid w:val="00993569"/>
    <w:rsid w:val="00993EF7"/>
    <w:rsid w:val="0099425E"/>
    <w:rsid w:val="00994AF6"/>
    <w:rsid w:val="00994DEA"/>
    <w:rsid w:val="00995906"/>
    <w:rsid w:val="00996102"/>
    <w:rsid w:val="0099680B"/>
    <w:rsid w:val="009A05A1"/>
    <w:rsid w:val="009A1A70"/>
    <w:rsid w:val="009A1F22"/>
    <w:rsid w:val="009A460F"/>
    <w:rsid w:val="009A6B4B"/>
    <w:rsid w:val="009A7282"/>
    <w:rsid w:val="009B007B"/>
    <w:rsid w:val="009B17B7"/>
    <w:rsid w:val="009B2BD0"/>
    <w:rsid w:val="009B302B"/>
    <w:rsid w:val="009B3A9F"/>
    <w:rsid w:val="009B4067"/>
    <w:rsid w:val="009B46B8"/>
    <w:rsid w:val="009B59A7"/>
    <w:rsid w:val="009B68DB"/>
    <w:rsid w:val="009B69C5"/>
    <w:rsid w:val="009B6C9B"/>
    <w:rsid w:val="009C0D9C"/>
    <w:rsid w:val="009C0E34"/>
    <w:rsid w:val="009C1759"/>
    <w:rsid w:val="009C2C5C"/>
    <w:rsid w:val="009C31E1"/>
    <w:rsid w:val="009C3545"/>
    <w:rsid w:val="009C39F7"/>
    <w:rsid w:val="009C3A44"/>
    <w:rsid w:val="009C5E35"/>
    <w:rsid w:val="009C65BB"/>
    <w:rsid w:val="009C6C0E"/>
    <w:rsid w:val="009C7B8B"/>
    <w:rsid w:val="009D0C33"/>
    <w:rsid w:val="009D2117"/>
    <w:rsid w:val="009D2256"/>
    <w:rsid w:val="009D308F"/>
    <w:rsid w:val="009D3A42"/>
    <w:rsid w:val="009D6794"/>
    <w:rsid w:val="009D6E4C"/>
    <w:rsid w:val="009D7F05"/>
    <w:rsid w:val="009E0234"/>
    <w:rsid w:val="009E0ABE"/>
    <w:rsid w:val="009E1674"/>
    <w:rsid w:val="009E3E63"/>
    <w:rsid w:val="009E464B"/>
    <w:rsid w:val="009E4935"/>
    <w:rsid w:val="009E506B"/>
    <w:rsid w:val="009E56EE"/>
    <w:rsid w:val="009E70F5"/>
    <w:rsid w:val="009E73A3"/>
    <w:rsid w:val="009F0077"/>
    <w:rsid w:val="009F016C"/>
    <w:rsid w:val="009F0C60"/>
    <w:rsid w:val="009F0F46"/>
    <w:rsid w:val="009F38DF"/>
    <w:rsid w:val="009F448C"/>
    <w:rsid w:val="009F4EDD"/>
    <w:rsid w:val="009F5D7D"/>
    <w:rsid w:val="009F79B4"/>
    <w:rsid w:val="00A014C7"/>
    <w:rsid w:val="00A02C3D"/>
    <w:rsid w:val="00A0317A"/>
    <w:rsid w:val="00A034DA"/>
    <w:rsid w:val="00A03E32"/>
    <w:rsid w:val="00A04199"/>
    <w:rsid w:val="00A06357"/>
    <w:rsid w:val="00A07118"/>
    <w:rsid w:val="00A07E74"/>
    <w:rsid w:val="00A10017"/>
    <w:rsid w:val="00A1031C"/>
    <w:rsid w:val="00A11903"/>
    <w:rsid w:val="00A12A2E"/>
    <w:rsid w:val="00A12D8C"/>
    <w:rsid w:val="00A138AF"/>
    <w:rsid w:val="00A1683E"/>
    <w:rsid w:val="00A16C1F"/>
    <w:rsid w:val="00A17483"/>
    <w:rsid w:val="00A20494"/>
    <w:rsid w:val="00A20A18"/>
    <w:rsid w:val="00A2353A"/>
    <w:rsid w:val="00A23A71"/>
    <w:rsid w:val="00A24E3A"/>
    <w:rsid w:val="00A25BE2"/>
    <w:rsid w:val="00A26C8E"/>
    <w:rsid w:val="00A26D2F"/>
    <w:rsid w:val="00A27953"/>
    <w:rsid w:val="00A3070D"/>
    <w:rsid w:val="00A30897"/>
    <w:rsid w:val="00A32C91"/>
    <w:rsid w:val="00A33167"/>
    <w:rsid w:val="00A33E5C"/>
    <w:rsid w:val="00A3417B"/>
    <w:rsid w:val="00A346B5"/>
    <w:rsid w:val="00A34AA7"/>
    <w:rsid w:val="00A36768"/>
    <w:rsid w:val="00A3692F"/>
    <w:rsid w:val="00A36D50"/>
    <w:rsid w:val="00A371C8"/>
    <w:rsid w:val="00A37BF3"/>
    <w:rsid w:val="00A40265"/>
    <w:rsid w:val="00A4039C"/>
    <w:rsid w:val="00A41B6D"/>
    <w:rsid w:val="00A425A6"/>
    <w:rsid w:val="00A44908"/>
    <w:rsid w:val="00A45D4B"/>
    <w:rsid w:val="00A46237"/>
    <w:rsid w:val="00A46D56"/>
    <w:rsid w:val="00A46DC3"/>
    <w:rsid w:val="00A46ECF"/>
    <w:rsid w:val="00A47C25"/>
    <w:rsid w:val="00A50EA2"/>
    <w:rsid w:val="00A52838"/>
    <w:rsid w:val="00A53C9F"/>
    <w:rsid w:val="00A551AD"/>
    <w:rsid w:val="00A56810"/>
    <w:rsid w:val="00A572A8"/>
    <w:rsid w:val="00A57DEA"/>
    <w:rsid w:val="00A60A05"/>
    <w:rsid w:val="00A6133B"/>
    <w:rsid w:val="00A62D49"/>
    <w:rsid w:val="00A64C73"/>
    <w:rsid w:val="00A652CE"/>
    <w:rsid w:val="00A65358"/>
    <w:rsid w:val="00A65A03"/>
    <w:rsid w:val="00A66542"/>
    <w:rsid w:val="00A70808"/>
    <w:rsid w:val="00A713D1"/>
    <w:rsid w:val="00A71D0F"/>
    <w:rsid w:val="00A732DC"/>
    <w:rsid w:val="00A74854"/>
    <w:rsid w:val="00A76674"/>
    <w:rsid w:val="00A76874"/>
    <w:rsid w:val="00A771B2"/>
    <w:rsid w:val="00A774A5"/>
    <w:rsid w:val="00A800EC"/>
    <w:rsid w:val="00A80348"/>
    <w:rsid w:val="00A808D7"/>
    <w:rsid w:val="00A80B0C"/>
    <w:rsid w:val="00A82D90"/>
    <w:rsid w:val="00A82FB0"/>
    <w:rsid w:val="00A8309E"/>
    <w:rsid w:val="00A84A90"/>
    <w:rsid w:val="00A84B65"/>
    <w:rsid w:val="00A84B8A"/>
    <w:rsid w:val="00A8522F"/>
    <w:rsid w:val="00A85F1D"/>
    <w:rsid w:val="00A862DF"/>
    <w:rsid w:val="00A866B9"/>
    <w:rsid w:val="00A87B9D"/>
    <w:rsid w:val="00A87C7C"/>
    <w:rsid w:val="00A87CB2"/>
    <w:rsid w:val="00A901A2"/>
    <w:rsid w:val="00A907FA"/>
    <w:rsid w:val="00A90C00"/>
    <w:rsid w:val="00A91485"/>
    <w:rsid w:val="00A92303"/>
    <w:rsid w:val="00A926E2"/>
    <w:rsid w:val="00A94B3C"/>
    <w:rsid w:val="00A95257"/>
    <w:rsid w:val="00A9561D"/>
    <w:rsid w:val="00A97347"/>
    <w:rsid w:val="00AA10A0"/>
    <w:rsid w:val="00AA1461"/>
    <w:rsid w:val="00AA24BF"/>
    <w:rsid w:val="00AA35E9"/>
    <w:rsid w:val="00AA5548"/>
    <w:rsid w:val="00AA56E0"/>
    <w:rsid w:val="00AA5B5D"/>
    <w:rsid w:val="00AA63C3"/>
    <w:rsid w:val="00AB264B"/>
    <w:rsid w:val="00AB2790"/>
    <w:rsid w:val="00AB27C3"/>
    <w:rsid w:val="00AB37DB"/>
    <w:rsid w:val="00AB5BD5"/>
    <w:rsid w:val="00AB6FB8"/>
    <w:rsid w:val="00AC2546"/>
    <w:rsid w:val="00AC2D24"/>
    <w:rsid w:val="00AC348C"/>
    <w:rsid w:val="00AC4126"/>
    <w:rsid w:val="00AC4774"/>
    <w:rsid w:val="00AC4BA2"/>
    <w:rsid w:val="00AC5A4D"/>
    <w:rsid w:val="00AC6445"/>
    <w:rsid w:val="00AC6614"/>
    <w:rsid w:val="00AC7154"/>
    <w:rsid w:val="00AD198C"/>
    <w:rsid w:val="00AD33D7"/>
    <w:rsid w:val="00AD58D3"/>
    <w:rsid w:val="00AD5DFC"/>
    <w:rsid w:val="00AD6843"/>
    <w:rsid w:val="00AE0145"/>
    <w:rsid w:val="00AE1DFA"/>
    <w:rsid w:val="00AE305B"/>
    <w:rsid w:val="00AE421A"/>
    <w:rsid w:val="00AE4423"/>
    <w:rsid w:val="00AE7280"/>
    <w:rsid w:val="00AE78B9"/>
    <w:rsid w:val="00AF105B"/>
    <w:rsid w:val="00AF3266"/>
    <w:rsid w:val="00AF4995"/>
    <w:rsid w:val="00B003D2"/>
    <w:rsid w:val="00B0066E"/>
    <w:rsid w:val="00B00EB0"/>
    <w:rsid w:val="00B01AC0"/>
    <w:rsid w:val="00B01E2C"/>
    <w:rsid w:val="00B01FED"/>
    <w:rsid w:val="00B037CA"/>
    <w:rsid w:val="00B04C84"/>
    <w:rsid w:val="00B04DFA"/>
    <w:rsid w:val="00B051BE"/>
    <w:rsid w:val="00B05991"/>
    <w:rsid w:val="00B05AFE"/>
    <w:rsid w:val="00B07A4A"/>
    <w:rsid w:val="00B07F41"/>
    <w:rsid w:val="00B10259"/>
    <w:rsid w:val="00B11261"/>
    <w:rsid w:val="00B12588"/>
    <w:rsid w:val="00B12A63"/>
    <w:rsid w:val="00B141C6"/>
    <w:rsid w:val="00B149C5"/>
    <w:rsid w:val="00B14FA6"/>
    <w:rsid w:val="00B15DF4"/>
    <w:rsid w:val="00B16388"/>
    <w:rsid w:val="00B1642C"/>
    <w:rsid w:val="00B17208"/>
    <w:rsid w:val="00B174E0"/>
    <w:rsid w:val="00B17859"/>
    <w:rsid w:val="00B17BC3"/>
    <w:rsid w:val="00B208DE"/>
    <w:rsid w:val="00B20C65"/>
    <w:rsid w:val="00B215A0"/>
    <w:rsid w:val="00B21840"/>
    <w:rsid w:val="00B21B31"/>
    <w:rsid w:val="00B21E33"/>
    <w:rsid w:val="00B2201C"/>
    <w:rsid w:val="00B22D93"/>
    <w:rsid w:val="00B243E7"/>
    <w:rsid w:val="00B2592E"/>
    <w:rsid w:val="00B25948"/>
    <w:rsid w:val="00B26C02"/>
    <w:rsid w:val="00B272A1"/>
    <w:rsid w:val="00B2798B"/>
    <w:rsid w:val="00B3010E"/>
    <w:rsid w:val="00B309DB"/>
    <w:rsid w:val="00B3181F"/>
    <w:rsid w:val="00B3303D"/>
    <w:rsid w:val="00B33D62"/>
    <w:rsid w:val="00B33EBA"/>
    <w:rsid w:val="00B33EFC"/>
    <w:rsid w:val="00B367CE"/>
    <w:rsid w:val="00B44D7E"/>
    <w:rsid w:val="00B50A36"/>
    <w:rsid w:val="00B54183"/>
    <w:rsid w:val="00B54694"/>
    <w:rsid w:val="00B54816"/>
    <w:rsid w:val="00B5667D"/>
    <w:rsid w:val="00B57382"/>
    <w:rsid w:val="00B57A2B"/>
    <w:rsid w:val="00B57C1E"/>
    <w:rsid w:val="00B63421"/>
    <w:rsid w:val="00B6438C"/>
    <w:rsid w:val="00B64DB4"/>
    <w:rsid w:val="00B64ED5"/>
    <w:rsid w:val="00B65AC0"/>
    <w:rsid w:val="00B675D2"/>
    <w:rsid w:val="00B67A7B"/>
    <w:rsid w:val="00B72974"/>
    <w:rsid w:val="00B72BCF"/>
    <w:rsid w:val="00B72E77"/>
    <w:rsid w:val="00B7319E"/>
    <w:rsid w:val="00B7469A"/>
    <w:rsid w:val="00B74899"/>
    <w:rsid w:val="00B7572E"/>
    <w:rsid w:val="00B75A2B"/>
    <w:rsid w:val="00B766A0"/>
    <w:rsid w:val="00B77831"/>
    <w:rsid w:val="00B8001C"/>
    <w:rsid w:val="00B806FB"/>
    <w:rsid w:val="00B80B77"/>
    <w:rsid w:val="00B81386"/>
    <w:rsid w:val="00B828A9"/>
    <w:rsid w:val="00B82AFA"/>
    <w:rsid w:val="00B84600"/>
    <w:rsid w:val="00B8463C"/>
    <w:rsid w:val="00B85CD6"/>
    <w:rsid w:val="00B85E9E"/>
    <w:rsid w:val="00B8636D"/>
    <w:rsid w:val="00B864C9"/>
    <w:rsid w:val="00B8673D"/>
    <w:rsid w:val="00B86A59"/>
    <w:rsid w:val="00B91755"/>
    <w:rsid w:val="00B91B3A"/>
    <w:rsid w:val="00B91F67"/>
    <w:rsid w:val="00B92DDF"/>
    <w:rsid w:val="00B93371"/>
    <w:rsid w:val="00B93B71"/>
    <w:rsid w:val="00B9436B"/>
    <w:rsid w:val="00B95037"/>
    <w:rsid w:val="00B97DF0"/>
    <w:rsid w:val="00B97F5F"/>
    <w:rsid w:val="00BA0584"/>
    <w:rsid w:val="00BA0BB8"/>
    <w:rsid w:val="00BA2383"/>
    <w:rsid w:val="00BA3A66"/>
    <w:rsid w:val="00BA5E7F"/>
    <w:rsid w:val="00BA6731"/>
    <w:rsid w:val="00BA7056"/>
    <w:rsid w:val="00BA75AC"/>
    <w:rsid w:val="00BA7BCC"/>
    <w:rsid w:val="00BB06D4"/>
    <w:rsid w:val="00BB3539"/>
    <w:rsid w:val="00BB4D9B"/>
    <w:rsid w:val="00BB4F6C"/>
    <w:rsid w:val="00BB53AD"/>
    <w:rsid w:val="00BB5D13"/>
    <w:rsid w:val="00BC0EC3"/>
    <w:rsid w:val="00BC1E0D"/>
    <w:rsid w:val="00BC3379"/>
    <w:rsid w:val="00BC383B"/>
    <w:rsid w:val="00BC3B26"/>
    <w:rsid w:val="00BC4364"/>
    <w:rsid w:val="00BC4657"/>
    <w:rsid w:val="00BC55BE"/>
    <w:rsid w:val="00BC69C9"/>
    <w:rsid w:val="00BD0C05"/>
    <w:rsid w:val="00BD3EF5"/>
    <w:rsid w:val="00BD428B"/>
    <w:rsid w:val="00BD49C2"/>
    <w:rsid w:val="00BD5AAB"/>
    <w:rsid w:val="00BD6BC1"/>
    <w:rsid w:val="00BE0562"/>
    <w:rsid w:val="00BE1223"/>
    <w:rsid w:val="00BE3001"/>
    <w:rsid w:val="00BE40C3"/>
    <w:rsid w:val="00BE41A2"/>
    <w:rsid w:val="00BE708A"/>
    <w:rsid w:val="00BF0625"/>
    <w:rsid w:val="00BF08D0"/>
    <w:rsid w:val="00BF0C46"/>
    <w:rsid w:val="00BF36B6"/>
    <w:rsid w:val="00BF3FEC"/>
    <w:rsid w:val="00C00AD5"/>
    <w:rsid w:val="00C01960"/>
    <w:rsid w:val="00C02376"/>
    <w:rsid w:val="00C029C3"/>
    <w:rsid w:val="00C02B02"/>
    <w:rsid w:val="00C0697F"/>
    <w:rsid w:val="00C069EF"/>
    <w:rsid w:val="00C108E0"/>
    <w:rsid w:val="00C123DD"/>
    <w:rsid w:val="00C12A36"/>
    <w:rsid w:val="00C1362C"/>
    <w:rsid w:val="00C14809"/>
    <w:rsid w:val="00C14846"/>
    <w:rsid w:val="00C14BC6"/>
    <w:rsid w:val="00C15567"/>
    <w:rsid w:val="00C15831"/>
    <w:rsid w:val="00C20625"/>
    <w:rsid w:val="00C20E0E"/>
    <w:rsid w:val="00C210D5"/>
    <w:rsid w:val="00C22237"/>
    <w:rsid w:val="00C22EE1"/>
    <w:rsid w:val="00C242A2"/>
    <w:rsid w:val="00C25310"/>
    <w:rsid w:val="00C259D6"/>
    <w:rsid w:val="00C268FE"/>
    <w:rsid w:val="00C2788B"/>
    <w:rsid w:val="00C27DF9"/>
    <w:rsid w:val="00C3027E"/>
    <w:rsid w:val="00C3039B"/>
    <w:rsid w:val="00C30924"/>
    <w:rsid w:val="00C319A0"/>
    <w:rsid w:val="00C32D3D"/>
    <w:rsid w:val="00C352BA"/>
    <w:rsid w:val="00C35E9C"/>
    <w:rsid w:val="00C36129"/>
    <w:rsid w:val="00C366AB"/>
    <w:rsid w:val="00C36772"/>
    <w:rsid w:val="00C36B2A"/>
    <w:rsid w:val="00C36CF9"/>
    <w:rsid w:val="00C37801"/>
    <w:rsid w:val="00C37EFF"/>
    <w:rsid w:val="00C42058"/>
    <w:rsid w:val="00C4379E"/>
    <w:rsid w:val="00C43934"/>
    <w:rsid w:val="00C45944"/>
    <w:rsid w:val="00C45AAC"/>
    <w:rsid w:val="00C46867"/>
    <w:rsid w:val="00C47B72"/>
    <w:rsid w:val="00C515DE"/>
    <w:rsid w:val="00C516BB"/>
    <w:rsid w:val="00C517CF"/>
    <w:rsid w:val="00C5275B"/>
    <w:rsid w:val="00C52AFD"/>
    <w:rsid w:val="00C53E22"/>
    <w:rsid w:val="00C54F7D"/>
    <w:rsid w:val="00C55CAE"/>
    <w:rsid w:val="00C561E8"/>
    <w:rsid w:val="00C565C2"/>
    <w:rsid w:val="00C56C2E"/>
    <w:rsid w:val="00C56E49"/>
    <w:rsid w:val="00C57E11"/>
    <w:rsid w:val="00C61003"/>
    <w:rsid w:val="00C61506"/>
    <w:rsid w:val="00C61F76"/>
    <w:rsid w:val="00C63405"/>
    <w:rsid w:val="00C64556"/>
    <w:rsid w:val="00C64C9B"/>
    <w:rsid w:val="00C663FE"/>
    <w:rsid w:val="00C667E6"/>
    <w:rsid w:val="00C677D9"/>
    <w:rsid w:val="00C70942"/>
    <w:rsid w:val="00C70B31"/>
    <w:rsid w:val="00C7152F"/>
    <w:rsid w:val="00C7195B"/>
    <w:rsid w:val="00C731A1"/>
    <w:rsid w:val="00C7561F"/>
    <w:rsid w:val="00C77952"/>
    <w:rsid w:val="00C77BEA"/>
    <w:rsid w:val="00C8042D"/>
    <w:rsid w:val="00C80804"/>
    <w:rsid w:val="00C80B04"/>
    <w:rsid w:val="00C80B44"/>
    <w:rsid w:val="00C80DB4"/>
    <w:rsid w:val="00C81702"/>
    <w:rsid w:val="00C817C6"/>
    <w:rsid w:val="00C82D64"/>
    <w:rsid w:val="00C83092"/>
    <w:rsid w:val="00C84424"/>
    <w:rsid w:val="00C84639"/>
    <w:rsid w:val="00C8573F"/>
    <w:rsid w:val="00C85D7D"/>
    <w:rsid w:val="00C90ADC"/>
    <w:rsid w:val="00C91B18"/>
    <w:rsid w:val="00C9267F"/>
    <w:rsid w:val="00C92976"/>
    <w:rsid w:val="00C94752"/>
    <w:rsid w:val="00C9545B"/>
    <w:rsid w:val="00C96081"/>
    <w:rsid w:val="00C96F1C"/>
    <w:rsid w:val="00C97455"/>
    <w:rsid w:val="00C97C87"/>
    <w:rsid w:val="00CA1911"/>
    <w:rsid w:val="00CA318D"/>
    <w:rsid w:val="00CA3F82"/>
    <w:rsid w:val="00CA4EF1"/>
    <w:rsid w:val="00CA5241"/>
    <w:rsid w:val="00CA7B95"/>
    <w:rsid w:val="00CB0D1E"/>
    <w:rsid w:val="00CB0D8E"/>
    <w:rsid w:val="00CB1228"/>
    <w:rsid w:val="00CB2B56"/>
    <w:rsid w:val="00CB46C4"/>
    <w:rsid w:val="00CB49E5"/>
    <w:rsid w:val="00CB4F7E"/>
    <w:rsid w:val="00CB54F1"/>
    <w:rsid w:val="00CB6C6F"/>
    <w:rsid w:val="00CB7419"/>
    <w:rsid w:val="00CB74D0"/>
    <w:rsid w:val="00CC1777"/>
    <w:rsid w:val="00CC2C8A"/>
    <w:rsid w:val="00CC4832"/>
    <w:rsid w:val="00CC4D64"/>
    <w:rsid w:val="00CC5859"/>
    <w:rsid w:val="00CC6754"/>
    <w:rsid w:val="00CC6802"/>
    <w:rsid w:val="00CC7617"/>
    <w:rsid w:val="00CC7640"/>
    <w:rsid w:val="00CC76D9"/>
    <w:rsid w:val="00CC77DE"/>
    <w:rsid w:val="00CC7BD9"/>
    <w:rsid w:val="00CC7F58"/>
    <w:rsid w:val="00CD0689"/>
    <w:rsid w:val="00CD092B"/>
    <w:rsid w:val="00CD10FA"/>
    <w:rsid w:val="00CD1842"/>
    <w:rsid w:val="00CD2FD4"/>
    <w:rsid w:val="00CD49A2"/>
    <w:rsid w:val="00CD4ED2"/>
    <w:rsid w:val="00CD7F5D"/>
    <w:rsid w:val="00CE1A7D"/>
    <w:rsid w:val="00CE2852"/>
    <w:rsid w:val="00CE2D8D"/>
    <w:rsid w:val="00CE2F88"/>
    <w:rsid w:val="00CE3DAC"/>
    <w:rsid w:val="00CE4530"/>
    <w:rsid w:val="00CE47DE"/>
    <w:rsid w:val="00CE4AB8"/>
    <w:rsid w:val="00CE4E5E"/>
    <w:rsid w:val="00CE654B"/>
    <w:rsid w:val="00CE66C1"/>
    <w:rsid w:val="00CE7187"/>
    <w:rsid w:val="00CE71D1"/>
    <w:rsid w:val="00CE78CE"/>
    <w:rsid w:val="00CE7B65"/>
    <w:rsid w:val="00CF06AE"/>
    <w:rsid w:val="00CF1972"/>
    <w:rsid w:val="00CF28CE"/>
    <w:rsid w:val="00CF325A"/>
    <w:rsid w:val="00CF5B1E"/>
    <w:rsid w:val="00CF5B28"/>
    <w:rsid w:val="00CF6CBC"/>
    <w:rsid w:val="00CF7569"/>
    <w:rsid w:val="00D00D29"/>
    <w:rsid w:val="00D01FDB"/>
    <w:rsid w:val="00D02499"/>
    <w:rsid w:val="00D03619"/>
    <w:rsid w:val="00D04570"/>
    <w:rsid w:val="00D06611"/>
    <w:rsid w:val="00D07811"/>
    <w:rsid w:val="00D10E17"/>
    <w:rsid w:val="00D13BDA"/>
    <w:rsid w:val="00D1403A"/>
    <w:rsid w:val="00D141F3"/>
    <w:rsid w:val="00D1515B"/>
    <w:rsid w:val="00D16655"/>
    <w:rsid w:val="00D201EE"/>
    <w:rsid w:val="00D20983"/>
    <w:rsid w:val="00D2265F"/>
    <w:rsid w:val="00D22B0B"/>
    <w:rsid w:val="00D2336E"/>
    <w:rsid w:val="00D23E5D"/>
    <w:rsid w:val="00D24A8F"/>
    <w:rsid w:val="00D25AD7"/>
    <w:rsid w:val="00D270EF"/>
    <w:rsid w:val="00D27112"/>
    <w:rsid w:val="00D2752D"/>
    <w:rsid w:val="00D325F9"/>
    <w:rsid w:val="00D32FC0"/>
    <w:rsid w:val="00D34026"/>
    <w:rsid w:val="00D34456"/>
    <w:rsid w:val="00D36A6E"/>
    <w:rsid w:val="00D3782B"/>
    <w:rsid w:val="00D41985"/>
    <w:rsid w:val="00D43385"/>
    <w:rsid w:val="00D46058"/>
    <w:rsid w:val="00D47261"/>
    <w:rsid w:val="00D478B1"/>
    <w:rsid w:val="00D47B77"/>
    <w:rsid w:val="00D5086A"/>
    <w:rsid w:val="00D5154F"/>
    <w:rsid w:val="00D51D00"/>
    <w:rsid w:val="00D51FBB"/>
    <w:rsid w:val="00D52096"/>
    <w:rsid w:val="00D52203"/>
    <w:rsid w:val="00D525A7"/>
    <w:rsid w:val="00D52C46"/>
    <w:rsid w:val="00D55013"/>
    <w:rsid w:val="00D55505"/>
    <w:rsid w:val="00D575DD"/>
    <w:rsid w:val="00D57F6B"/>
    <w:rsid w:val="00D6015B"/>
    <w:rsid w:val="00D615C2"/>
    <w:rsid w:val="00D61DC4"/>
    <w:rsid w:val="00D61FDE"/>
    <w:rsid w:val="00D62359"/>
    <w:rsid w:val="00D63CAC"/>
    <w:rsid w:val="00D63D40"/>
    <w:rsid w:val="00D64614"/>
    <w:rsid w:val="00D6493F"/>
    <w:rsid w:val="00D661DF"/>
    <w:rsid w:val="00D72DFA"/>
    <w:rsid w:val="00D73252"/>
    <w:rsid w:val="00D767CB"/>
    <w:rsid w:val="00D81199"/>
    <w:rsid w:val="00D81403"/>
    <w:rsid w:val="00D8269F"/>
    <w:rsid w:val="00D827BB"/>
    <w:rsid w:val="00D83346"/>
    <w:rsid w:val="00D853BB"/>
    <w:rsid w:val="00D85B39"/>
    <w:rsid w:val="00D85D34"/>
    <w:rsid w:val="00D86595"/>
    <w:rsid w:val="00D875AE"/>
    <w:rsid w:val="00D8793D"/>
    <w:rsid w:val="00D87A96"/>
    <w:rsid w:val="00D87C1E"/>
    <w:rsid w:val="00D905C3"/>
    <w:rsid w:val="00D90DFD"/>
    <w:rsid w:val="00D90FD0"/>
    <w:rsid w:val="00D912D6"/>
    <w:rsid w:val="00D92060"/>
    <w:rsid w:val="00D93545"/>
    <w:rsid w:val="00D93A48"/>
    <w:rsid w:val="00D94025"/>
    <w:rsid w:val="00D96E54"/>
    <w:rsid w:val="00D97B19"/>
    <w:rsid w:val="00D97F79"/>
    <w:rsid w:val="00DA0B84"/>
    <w:rsid w:val="00DA22F0"/>
    <w:rsid w:val="00DA2D13"/>
    <w:rsid w:val="00DA2FEE"/>
    <w:rsid w:val="00DA34EE"/>
    <w:rsid w:val="00DA4A0C"/>
    <w:rsid w:val="00DA5FB5"/>
    <w:rsid w:val="00DA6FC7"/>
    <w:rsid w:val="00DA7118"/>
    <w:rsid w:val="00DA715A"/>
    <w:rsid w:val="00DA734A"/>
    <w:rsid w:val="00DA73AE"/>
    <w:rsid w:val="00DB01C5"/>
    <w:rsid w:val="00DB0754"/>
    <w:rsid w:val="00DB2023"/>
    <w:rsid w:val="00DB27BB"/>
    <w:rsid w:val="00DB2EAD"/>
    <w:rsid w:val="00DB31BF"/>
    <w:rsid w:val="00DB37F8"/>
    <w:rsid w:val="00DB387B"/>
    <w:rsid w:val="00DB4DBE"/>
    <w:rsid w:val="00DB51D0"/>
    <w:rsid w:val="00DB6056"/>
    <w:rsid w:val="00DB6202"/>
    <w:rsid w:val="00DB6A61"/>
    <w:rsid w:val="00DB6AF7"/>
    <w:rsid w:val="00DB6D0D"/>
    <w:rsid w:val="00DB709F"/>
    <w:rsid w:val="00DB7264"/>
    <w:rsid w:val="00DC06E5"/>
    <w:rsid w:val="00DC0813"/>
    <w:rsid w:val="00DC11F6"/>
    <w:rsid w:val="00DC2B32"/>
    <w:rsid w:val="00DC349A"/>
    <w:rsid w:val="00DC5644"/>
    <w:rsid w:val="00DC5930"/>
    <w:rsid w:val="00DC6DC1"/>
    <w:rsid w:val="00DC7812"/>
    <w:rsid w:val="00DD2277"/>
    <w:rsid w:val="00DD39B2"/>
    <w:rsid w:val="00DD4DFE"/>
    <w:rsid w:val="00DD5C3F"/>
    <w:rsid w:val="00DE04F9"/>
    <w:rsid w:val="00DE08EF"/>
    <w:rsid w:val="00DE22F8"/>
    <w:rsid w:val="00DE70A8"/>
    <w:rsid w:val="00DE724C"/>
    <w:rsid w:val="00DE7D4D"/>
    <w:rsid w:val="00DF0037"/>
    <w:rsid w:val="00DF0183"/>
    <w:rsid w:val="00DF0497"/>
    <w:rsid w:val="00DF0A48"/>
    <w:rsid w:val="00DF32AB"/>
    <w:rsid w:val="00DF3DAA"/>
    <w:rsid w:val="00DF5685"/>
    <w:rsid w:val="00DF584D"/>
    <w:rsid w:val="00DF5880"/>
    <w:rsid w:val="00E011BE"/>
    <w:rsid w:val="00E011D9"/>
    <w:rsid w:val="00E030B6"/>
    <w:rsid w:val="00E039C6"/>
    <w:rsid w:val="00E04B5D"/>
    <w:rsid w:val="00E06490"/>
    <w:rsid w:val="00E07ACB"/>
    <w:rsid w:val="00E07BBC"/>
    <w:rsid w:val="00E10085"/>
    <w:rsid w:val="00E11AD1"/>
    <w:rsid w:val="00E1257D"/>
    <w:rsid w:val="00E128DB"/>
    <w:rsid w:val="00E14578"/>
    <w:rsid w:val="00E14F14"/>
    <w:rsid w:val="00E16248"/>
    <w:rsid w:val="00E16601"/>
    <w:rsid w:val="00E16C5C"/>
    <w:rsid w:val="00E1704E"/>
    <w:rsid w:val="00E176D3"/>
    <w:rsid w:val="00E17A7C"/>
    <w:rsid w:val="00E21AA9"/>
    <w:rsid w:val="00E227BD"/>
    <w:rsid w:val="00E23B7E"/>
    <w:rsid w:val="00E244CB"/>
    <w:rsid w:val="00E24649"/>
    <w:rsid w:val="00E24EEC"/>
    <w:rsid w:val="00E278CC"/>
    <w:rsid w:val="00E308C4"/>
    <w:rsid w:val="00E32253"/>
    <w:rsid w:val="00E3284E"/>
    <w:rsid w:val="00E337CE"/>
    <w:rsid w:val="00E33C4A"/>
    <w:rsid w:val="00E342DE"/>
    <w:rsid w:val="00E36030"/>
    <w:rsid w:val="00E3612F"/>
    <w:rsid w:val="00E367F1"/>
    <w:rsid w:val="00E36B6F"/>
    <w:rsid w:val="00E37381"/>
    <w:rsid w:val="00E3745E"/>
    <w:rsid w:val="00E40FBC"/>
    <w:rsid w:val="00E425AD"/>
    <w:rsid w:val="00E4279F"/>
    <w:rsid w:val="00E43107"/>
    <w:rsid w:val="00E43114"/>
    <w:rsid w:val="00E432A2"/>
    <w:rsid w:val="00E438E4"/>
    <w:rsid w:val="00E44F45"/>
    <w:rsid w:val="00E45977"/>
    <w:rsid w:val="00E45D7D"/>
    <w:rsid w:val="00E463C8"/>
    <w:rsid w:val="00E47681"/>
    <w:rsid w:val="00E50714"/>
    <w:rsid w:val="00E5076C"/>
    <w:rsid w:val="00E5495D"/>
    <w:rsid w:val="00E557E2"/>
    <w:rsid w:val="00E56724"/>
    <w:rsid w:val="00E61D5C"/>
    <w:rsid w:val="00E61EC3"/>
    <w:rsid w:val="00E62092"/>
    <w:rsid w:val="00E62A39"/>
    <w:rsid w:val="00E62B71"/>
    <w:rsid w:val="00E638AA"/>
    <w:rsid w:val="00E6559C"/>
    <w:rsid w:val="00E65EFF"/>
    <w:rsid w:val="00E66E93"/>
    <w:rsid w:val="00E673CE"/>
    <w:rsid w:val="00E70367"/>
    <w:rsid w:val="00E707F4"/>
    <w:rsid w:val="00E7190C"/>
    <w:rsid w:val="00E7304E"/>
    <w:rsid w:val="00E73A02"/>
    <w:rsid w:val="00E73F63"/>
    <w:rsid w:val="00E749DF"/>
    <w:rsid w:val="00E74DE1"/>
    <w:rsid w:val="00E75A30"/>
    <w:rsid w:val="00E761FF"/>
    <w:rsid w:val="00E76D70"/>
    <w:rsid w:val="00E7738E"/>
    <w:rsid w:val="00E77465"/>
    <w:rsid w:val="00E80D71"/>
    <w:rsid w:val="00E81500"/>
    <w:rsid w:val="00E83F09"/>
    <w:rsid w:val="00E84AF1"/>
    <w:rsid w:val="00E8570C"/>
    <w:rsid w:val="00E8570F"/>
    <w:rsid w:val="00E86930"/>
    <w:rsid w:val="00E87CF4"/>
    <w:rsid w:val="00E90B96"/>
    <w:rsid w:val="00E915DB"/>
    <w:rsid w:val="00E91F96"/>
    <w:rsid w:val="00E92696"/>
    <w:rsid w:val="00E94A67"/>
    <w:rsid w:val="00E96D30"/>
    <w:rsid w:val="00E96F99"/>
    <w:rsid w:val="00E9722D"/>
    <w:rsid w:val="00EA1817"/>
    <w:rsid w:val="00EA1B10"/>
    <w:rsid w:val="00EA2692"/>
    <w:rsid w:val="00EA440C"/>
    <w:rsid w:val="00EA6220"/>
    <w:rsid w:val="00EB0FE4"/>
    <w:rsid w:val="00EB1594"/>
    <w:rsid w:val="00EB27E4"/>
    <w:rsid w:val="00EB2BBA"/>
    <w:rsid w:val="00EB4953"/>
    <w:rsid w:val="00EC1C13"/>
    <w:rsid w:val="00EC3649"/>
    <w:rsid w:val="00EC3A58"/>
    <w:rsid w:val="00EC4AF9"/>
    <w:rsid w:val="00EC5DFD"/>
    <w:rsid w:val="00EC77D7"/>
    <w:rsid w:val="00EC7C29"/>
    <w:rsid w:val="00EC7E74"/>
    <w:rsid w:val="00ED1D0A"/>
    <w:rsid w:val="00ED1D7F"/>
    <w:rsid w:val="00ED36D1"/>
    <w:rsid w:val="00ED378C"/>
    <w:rsid w:val="00ED65DA"/>
    <w:rsid w:val="00ED7F1E"/>
    <w:rsid w:val="00EE29AB"/>
    <w:rsid w:val="00EE303A"/>
    <w:rsid w:val="00EE395C"/>
    <w:rsid w:val="00EE3EFD"/>
    <w:rsid w:val="00EE3F6D"/>
    <w:rsid w:val="00EE44A0"/>
    <w:rsid w:val="00EE4E70"/>
    <w:rsid w:val="00EE53CB"/>
    <w:rsid w:val="00EE60EF"/>
    <w:rsid w:val="00EE646A"/>
    <w:rsid w:val="00EE7EC7"/>
    <w:rsid w:val="00EF028C"/>
    <w:rsid w:val="00EF1492"/>
    <w:rsid w:val="00EF2944"/>
    <w:rsid w:val="00EF59E8"/>
    <w:rsid w:val="00EF60C9"/>
    <w:rsid w:val="00EF69F0"/>
    <w:rsid w:val="00EF6D1C"/>
    <w:rsid w:val="00EF7A3A"/>
    <w:rsid w:val="00F0156D"/>
    <w:rsid w:val="00F03C54"/>
    <w:rsid w:val="00F04809"/>
    <w:rsid w:val="00F04E3D"/>
    <w:rsid w:val="00F05121"/>
    <w:rsid w:val="00F05211"/>
    <w:rsid w:val="00F06558"/>
    <w:rsid w:val="00F10A06"/>
    <w:rsid w:val="00F10ED7"/>
    <w:rsid w:val="00F11744"/>
    <w:rsid w:val="00F125F3"/>
    <w:rsid w:val="00F1495B"/>
    <w:rsid w:val="00F155F5"/>
    <w:rsid w:val="00F160AC"/>
    <w:rsid w:val="00F164B9"/>
    <w:rsid w:val="00F16584"/>
    <w:rsid w:val="00F17340"/>
    <w:rsid w:val="00F20D38"/>
    <w:rsid w:val="00F2161D"/>
    <w:rsid w:val="00F21D34"/>
    <w:rsid w:val="00F21F24"/>
    <w:rsid w:val="00F227E9"/>
    <w:rsid w:val="00F23B07"/>
    <w:rsid w:val="00F23B08"/>
    <w:rsid w:val="00F244FE"/>
    <w:rsid w:val="00F26109"/>
    <w:rsid w:val="00F27B2A"/>
    <w:rsid w:val="00F27C0D"/>
    <w:rsid w:val="00F27C11"/>
    <w:rsid w:val="00F30B23"/>
    <w:rsid w:val="00F30D7F"/>
    <w:rsid w:val="00F31FA0"/>
    <w:rsid w:val="00F324E3"/>
    <w:rsid w:val="00F33234"/>
    <w:rsid w:val="00F3323F"/>
    <w:rsid w:val="00F33B5B"/>
    <w:rsid w:val="00F34595"/>
    <w:rsid w:val="00F359D6"/>
    <w:rsid w:val="00F36837"/>
    <w:rsid w:val="00F36C1A"/>
    <w:rsid w:val="00F37D26"/>
    <w:rsid w:val="00F40057"/>
    <w:rsid w:val="00F405C1"/>
    <w:rsid w:val="00F414AA"/>
    <w:rsid w:val="00F420C8"/>
    <w:rsid w:val="00F42F73"/>
    <w:rsid w:val="00F439EF"/>
    <w:rsid w:val="00F4549C"/>
    <w:rsid w:val="00F4729F"/>
    <w:rsid w:val="00F475E7"/>
    <w:rsid w:val="00F47B40"/>
    <w:rsid w:val="00F52AA3"/>
    <w:rsid w:val="00F53A13"/>
    <w:rsid w:val="00F53BBC"/>
    <w:rsid w:val="00F54214"/>
    <w:rsid w:val="00F54ABC"/>
    <w:rsid w:val="00F553B3"/>
    <w:rsid w:val="00F55F75"/>
    <w:rsid w:val="00F57A4E"/>
    <w:rsid w:val="00F60381"/>
    <w:rsid w:val="00F60A5A"/>
    <w:rsid w:val="00F60CAD"/>
    <w:rsid w:val="00F60D25"/>
    <w:rsid w:val="00F61A98"/>
    <w:rsid w:val="00F62252"/>
    <w:rsid w:val="00F62FB2"/>
    <w:rsid w:val="00F6398E"/>
    <w:rsid w:val="00F63D0F"/>
    <w:rsid w:val="00F651D6"/>
    <w:rsid w:val="00F65F99"/>
    <w:rsid w:val="00F675D4"/>
    <w:rsid w:val="00F67EDA"/>
    <w:rsid w:val="00F7035C"/>
    <w:rsid w:val="00F70A68"/>
    <w:rsid w:val="00F72287"/>
    <w:rsid w:val="00F72BCE"/>
    <w:rsid w:val="00F745EB"/>
    <w:rsid w:val="00F755F4"/>
    <w:rsid w:val="00F81861"/>
    <w:rsid w:val="00F830B5"/>
    <w:rsid w:val="00F83BEB"/>
    <w:rsid w:val="00F850B5"/>
    <w:rsid w:val="00F85F25"/>
    <w:rsid w:val="00F861F8"/>
    <w:rsid w:val="00F87B9F"/>
    <w:rsid w:val="00F92522"/>
    <w:rsid w:val="00F92E8F"/>
    <w:rsid w:val="00F93488"/>
    <w:rsid w:val="00F9575D"/>
    <w:rsid w:val="00F960A3"/>
    <w:rsid w:val="00F96675"/>
    <w:rsid w:val="00F96D46"/>
    <w:rsid w:val="00FA1788"/>
    <w:rsid w:val="00FA178B"/>
    <w:rsid w:val="00FA1A71"/>
    <w:rsid w:val="00FA1AF5"/>
    <w:rsid w:val="00FA331E"/>
    <w:rsid w:val="00FA3365"/>
    <w:rsid w:val="00FA36E2"/>
    <w:rsid w:val="00FA6947"/>
    <w:rsid w:val="00FA7194"/>
    <w:rsid w:val="00FA7730"/>
    <w:rsid w:val="00FA7F74"/>
    <w:rsid w:val="00FA7FD4"/>
    <w:rsid w:val="00FA7FFA"/>
    <w:rsid w:val="00FB1B18"/>
    <w:rsid w:val="00FB2F64"/>
    <w:rsid w:val="00FB3B98"/>
    <w:rsid w:val="00FB42A8"/>
    <w:rsid w:val="00FB494C"/>
    <w:rsid w:val="00FB5414"/>
    <w:rsid w:val="00FB6B23"/>
    <w:rsid w:val="00FB6BD6"/>
    <w:rsid w:val="00FB7243"/>
    <w:rsid w:val="00FC14BE"/>
    <w:rsid w:val="00FC18B8"/>
    <w:rsid w:val="00FC1E4A"/>
    <w:rsid w:val="00FC396F"/>
    <w:rsid w:val="00FC464F"/>
    <w:rsid w:val="00FC499D"/>
    <w:rsid w:val="00FC4E54"/>
    <w:rsid w:val="00FC5B71"/>
    <w:rsid w:val="00FC679E"/>
    <w:rsid w:val="00FC74BF"/>
    <w:rsid w:val="00FD231E"/>
    <w:rsid w:val="00FD23C2"/>
    <w:rsid w:val="00FD23CF"/>
    <w:rsid w:val="00FD2A25"/>
    <w:rsid w:val="00FD2E70"/>
    <w:rsid w:val="00FD32D5"/>
    <w:rsid w:val="00FD4748"/>
    <w:rsid w:val="00FD67FD"/>
    <w:rsid w:val="00FD7904"/>
    <w:rsid w:val="00FE0F44"/>
    <w:rsid w:val="00FE18E2"/>
    <w:rsid w:val="00FE243B"/>
    <w:rsid w:val="00FE2942"/>
    <w:rsid w:val="00FE2A57"/>
    <w:rsid w:val="00FE5DF1"/>
    <w:rsid w:val="00FE6533"/>
    <w:rsid w:val="00FF201D"/>
    <w:rsid w:val="00FF28BE"/>
    <w:rsid w:val="00FF2B88"/>
    <w:rsid w:val="00FF4879"/>
    <w:rsid w:val="00FF52E7"/>
    <w:rsid w:val="00FF5714"/>
    <w:rsid w:val="00FF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none [3213]">
      <v:stroke color="none [3213]"/>
    </o:shapedefaults>
    <o:shapelayout v:ext="edit">
      <o:idmap v:ext="edit" data="1"/>
    </o:shapelayout>
  </w:shapeDefaults>
  <w:decimalSymbol w:val="."/>
  <w:listSeparator w:val=","/>
  <w14:docId w14:val="09E54A84"/>
  <w15:docId w15:val="{9FB104F9-A370-446A-8E2A-D8C4FE2F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F5E"/>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BF0625"/>
    <w:pPr>
      <w:keepNext/>
      <w:keepLines/>
      <w:spacing w:line="480" w:lineRule="auto"/>
      <w:jc w:val="center"/>
      <w:outlineLvl w:val="0"/>
    </w:pPr>
    <w:rPr>
      <w:rFonts w:eastAsia="Times New Roman"/>
      <w:i/>
      <w:iCs/>
      <w:caps/>
      <w:color w:val="000000"/>
      <w:lang w:eastAsia="en-AU"/>
    </w:rPr>
  </w:style>
  <w:style w:type="paragraph" w:styleId="Heading2">
    <w:name w:val="heading 2"/>
    <w:next w:val="Normal"/>
    <w:link w:val="Heading2Char"/>
    <w:qFormat/>
    <w:rsid w:val="00D2265F"/>
    <w:pPr>
      <w:keepNext/>
      <w:spacing w:before="240" w:after="60" w:line="480" w:lineRule="auto"/>
      <w:outlineLvl w:val="1"/>
    </w:pPr>
    <w:rPr>
      <w:rFonts w:ascii="Times New Roman" w:eastAsia="Times New Roman" w:hAnsi="Times New Roman"/>
      <w:bCs/>
      <w:i/>
      <w:iCs/>
      <w:sz w:val="24"/>
      <w:szCs w:val="28"/>
    </w:rPr>
  </w:style>
  <w:style w:type="paragraph" w:styleId="Heading3">
    <w:name w:val="heading 3"/>
    <w:basedOn w:val="Normal"/>
    <w:next w:val="Normal"/>
    <w:link w:val="Heading3Char"/>
    <w:uiPriority w:val="9"/>
    <w:qFormat/>
    <w:rsid w:val="00D2265F"/>
    <w:pPr>
      <w:keepNext/>
      <w:keepLines/>
      <w:spacing w:before="40" w:line="480" w:lineRule="auto"/>
      <w:ind w:firstLine="720"/>
      <w:outlineLvl w:val="2"/>
    </w:pPr>
    <w:rPr>
      <w:rFonts w:ascii="Cambria" w:eastAsia="Times New Roman" w:hAnsi="Cambria"/>
      <w:color w:val="243F6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1">
    <w:name w:val="Hyperlink1"/>
    <w:basedOn w:val="Normal"/>
    <w:qFormat/>
    <w:rsid w:val="00233571"/>
    <w:pPr>
      <w:spacing w:after="200" w:line="276" w:lineRule="auto"/>
      <w:ind w:firstLine="720"/>
    </w:pPr>
    <w:rPr>
      <w:rFonts w:ascii="Calibri" w:hAnsi="Calibri"/>
      <w:color w:val="0070C0"/>
      <w:sz w:val="22"/>
      <w:szCs w:val="22"/>
    </w:rPr>
  </w:style>
  <w:style w:type="paragraph" w:styleId="Header">
    <w:name w:val="header"/>
    <w:basedOn w:val="Normal"/>
    <w:link w:val="HeaderChar"/>
    <w:uiPriority w:val="99"/>
    <w:unhideWhenUsed/>
    <w:rsid w:val="008A021E"/>
    <w:pPr>
      <w:tabs>
        <w:tab w:val="center" w:pos="4680"/>
        <w:tab w:val="right" w:pos="9360"/>
      </w:tabs>
      <w:spacing w:line="480" w:lineRule="auto"/>
      <w:ind w:firstLine="720"/>
    </w:pPr>
    <w:rPr>
      <w:rFonts w:eastAsia="Batang"/>
      <w:lang w:eastAsia="ko-KR"/>
    </w:rPr>
  </w:style>
  <w:style w:type="character" w:customStyle="1" w:styleId="HeaderChar">
    <w:name w:val="Header Char"/>
    <w:link w:val="Header"/>
    <w:uiPriority w:val="99"/>
    <w:rsid w:val="008A021E"/>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8A021E"/>
    <w:pPr>
      <w:tabs>
        <w:tab w:val="center" w:pos="4680"/>
        <w:tab w:val="right" w:pos="9360"/>
      </w:tabs>
      <w:spacing w:line="480" w:lineRule="auto"/>
      <w:ind w:firstLine="720"/>
    </w:pPr>
    <w:rPr>
      <w:rFonts w:eastAsia="Batang"/>
      <w:lang w:eastAsia="ko-KR"/>
    </w:rPr>
  </w:style>
  <w:style w:type="character" w:customStyle="1" w:styleId="FooterChar">
    <w:name w:val="Footer Char"/>
    <w:link w:val="Footer"/>
    <w:uiPriority w:val="99"/>
    <w:rsid w:val="008A021E"/>
    <w:rPr>
      <w:rFonts w:ascii="Times New Roman" w:eastAsia="Batang" w:hAnsi="Times New Roman" w:cs="Times New Roman"/>
      <w:sz w:val="24"/>
      <w:szCs w:val="24"/>
      <w:lang w:eastAsia="ko-KR"/>
    </w:rPr>
  </w:style>
  <w:style w:type="character" w:customStyle="1" w:styleId="Heading1Char">
    <w:name w:val="Heading 1 Char"/>
    <w:link w:val="Heading1"/>
    <w:uiPriority w:val="9"/>
    <w:rsid w:val="00BF0625"/>
    <w:rPr>
      <w:rFonts w:ascii="Times New Roman" w:eastAsia="Times New Roman" w:hAnsi="Times New Roman" w:cs="Times New Roman"/>
      <w:i/>
      <w:iCs/>
      <w:caps/>
      <w:color w:val="000000"/>
      <w:sz w:val="24"/>
      <w:szCs w:val="24"/>
      <w:lang w:eastAsia="en-AU"/>
    </w:rPr>
  </w:style>
  <w:style w:type="character" w:customStyle="1" w:styleId="Heading2Char">
    <w:name w:val="Heading 2 Char"/>
    <w:link w:val="Heading2"/>
    <w:rsid w:val="00D2265F"/>
    <w:rPr>
      <w:rFonts w:ascii="Times New Roman" w:eastAsia="Times New Roman" w:hAnsi="Times New Roman"/>
      <w:bCs/>
      <w:i/>
      <w:iCs/>
      <w:sz w:val="24"/>
      <w:szCs w:val="28"/>
      <w:lang w:bidi="ar-SA"/>
    </w:rPr>
  </w:style>
  <w:style w:type="character" w:styleId="PageNumber">
    <w:name w:val="page number"/>
    <w:basedOn w:val="DefaultParagraphFont"/>
    <w:rsid w:val="00030927"/>
  </w:style>
  <w:style w:type="paragraph" w:customStyle="1" w:styleId="ColorfulList-Accent11">
    <w:name w:val="Colorful List - Accent 11"/>
    <w:basedOn w:val="Normal"/>
    <w:uiPriority w:val="34"/>
    <w:qFormat/>
    <w:rsid w:val="00030927"/>
    <w:pPr>
      <w:spacing w:before="240" w:line="480" w:lineRule="auto"/>
      <w:ind w:left="720" w:firstLine="720"/>
      <w:contextualSpacing/>
    </w:pPr>
    <w:rPr>
      <w:rFonts w:eastAsia="Times New Roman"/>
      <w:lang w:eastAsia="en-AU"/>
    </w:rPr>
  </w:style>
  <w:style w:type="paragraph" w:customStyle="1" w:styleId="Bodytext">
    <w:name w:val="Bodytext"/>
    <w:basedOn w:val="Normal"/>
    <w:rsid w:val="00030927"/>
    <w:pPr>
      <w:spacing w:line="480" w:lineRule="auto"/>
      <w:ind w:firstLine="720"/>
      <w:jc w:val="both"/>
    </w:pPr>
    <w:rPr>
      <w:rFonts w:eastAsia="Times New Roman"/>
      <w:szCs w:val="20"/>
    </w:rPr>
  </w:style>
  <w:style w:type="character" w:styleId="CommentReference">
    <w:name w:val="annotation reference"/>
    <w:uiPriority w:val="99"/>
    <w:semiHidden/>
    <w:unhideWhenUsed/>
    <w:rsid w:val="00030927"/>
    <w:rPr>
      <w:sz w:val="18"/>
      <w:szCs w:val="18"/>
    </w:rPr>
  </w:style>
  <w:style w:type="paragraph" w:styleId="CommentText">
    <w:name w:val="annotation text"/>
    <w:basedOn w:val="Normal"/>
    <w:link w:val="CommentTextChar"/>
    <w:uiPriority w:val="99"/>
    <w:unhideWhenUsed/>
    <w:rsid w:val="00030927"/>
    <w:pPr>
      <w:spacing w:before="240" w:line="480" w:lineRule="auto"/>
      <w:ind w:firstLine="720"/>
    </w:pPr>
    <w:rPr>
      <w:rFonts w:eastAsia="Times New Roman"/>
      <w:lang w:eastAsia="en-AU"/>
    </w:rPr>
  </w:style>
  <w:style w:type="character" w:customStyle="1" w:styleId="CommentTextChar">
    <w:name w:val="Comment Text Char"/>
    <w:link w:val="CommentText"/>
    <w:uiPriority w:val="99"/>
    <w:rsid w:val="00030927"/>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30927"/>
    <w:pPr>
      <w:spacing w:line="480" w:lineRule="auto"/>
      <w:ind w:firstLine="720"/>
    </w:pPr>
    <w:rPr>
      <w:rFonts w:ascii="Tahoma" w:eastAsia="Batang" w:hAnsi="Tahoma"/>
      <w:sz w:val="16"/>
      <w:szCs w:val="16"/>
      <w:lang w:eastAsia="ko-KR"/>
    </w:rPr>
  </w:style>
  <w:style w:type="character" w:customStyle="1" w:styleId="BalloonTextChar">
    <w:name w:val="Balloon Text Char"/>
    <w:link w:val="BalloonText"/>
    <w:uiPriority w:val="99"/>
    <w:semiHidden/>
    <w:rsid w:val="00030927"/>
    <w:rPr>
      <w:rFonts w:ascii="Tahoma" w:eastAsia="Batang" w:hAnsi="Tahoma" w:cs="Tahoma"/>
      <w:sz w:val="16"/>
      <w:szCs w:val="16"/>
      <w:lang w:eastAsia="ko-KR"/>
    </w:rPr>
  </w:style>
  <w:style w:type="paragraph" w:styleId="CommentSubject">
    <w:name w:val="annotation subject"/>
    <w:basedOn w:val="CommentText"/>
    <w:next w:val="CommentText"/>
    <w:link w:val="CommentSubjectChar"/>
    <w:uiPriority w:val="99"/>
    <w:semiHidden/>
    <w:unhideWhenUsed/>
    <w:rsid w:val="00D55505"/>
    <w:pPr>
      <w:spacing w:before="0"/>
      <w:ind w:firstLine="0"/>
    </w:pPr>
    <w:rPr>
      <w:rFonts w:eastAsia="Batang"/>
      <w:b/>
      <w:bCs/>
      <w:sz w:val="20"/>
      <w:szCs w:val="20"/>
      <w:lang w:eastAsia="ko-KR"/>
    </w:rPr>
  </w:style>
  <w:style w:type="character" w:customStyle="1" w:styleId="CommentSubjectChar">
    <w:name w:val="Comment Subject Char"/>
    <w:link w:val="CommentSubject"/>
    <w:uiPriority w:val="99"/>
    <w:semiHidden/>
    <w:rsid w:val="00D55505"/>
    <w:rPr>
      <w:rFonts w:ascii="Times New Roman" w:eastAsia="Batang" w:hAnsi="Times New Roman" w:cs="Times New Roman"/>
      <w:b/>
      <w:bCs/>
      <w:sz w:val="20"/>
      <w:szCs w:val="20"/>
      <w:lang w:eastAsia="ko-KR"/>
    </w:rPr>
  </w:style>
  <w:style w:type="paragraph" w:customStyle="1" w:styleId="ColorfulShading-Accent11">
    <w:name w:val="Colorful Shading - Accent 11"/>
    <w:hidden/>
    <w:uiPriority w:val="99"/>
    <w:semiHidden/>
    <w:rsid w:val="00D55505"/>
    <w:rPr>
      <w:rFonts w:ascii="Times New Roman" w:eastAsia="Batang" w:hAnsi="Times New Roman"/>
      <w:sz w:val="24"/>
      <w:szCs w:val="24"/>
      <w:lang w:val="en-US" w:eastAsia="ko-KR"/>
    </w:rPr>
  </w:style>
  <w:style w:type="paragraph" w:styleId="FootnoteText">
    <w:name w:val="footnote text"/>
    <w:basedOn w:val="Normal"/>
    <w:link w:val="FootnoteTextChar"/>
    <w:uiPriority w:val="99"/>
    <w:unhideWhenUsed/>
    <w:rsid w:val="00C70B31"/>
    <w:pPr>
      <w:spacing w:line="480" w:lineRule="auto"/>
      <w:ind w:firstLine="720"/>
    </w:pPr>
    <w:rPr>
      <w:rFonts w:eastAsia="Batang"/>
      <w:sz w:val="20"/>
      <w:szCs w:val="20"/>
      <w:lang w:eastAsia="ko-KR"/>
    </w:rPr>
  </w:style>
  <w:style w:type="character" w:customStyle="1" w:styleId="FootnoteTextChar">
    <w:name w:val="Footnote Text Char"/>
    <w:link w:val="FootnoteText"/>
    <w:uiPriority w:val="99"/>
    <w:rsid w:val="00C70B31"/>
    <w:rPr>
      <w:rFonts w:ascii="Times New Roman" w:eastAsia="Batang" w:hAnsi="Times New Roman" w:cs="Times New Roman"/>
      <w:sz w:val="20"/>
      <w:szCs w:val="20"/>
      <w:lang w:eastAsia="ko-KR"/>
    </w:rPr>
  </w:style>
  <w:style w:type="character" w:styleId="FootnoteReference">
    <w:name w:val="footnote reference"/>
    <w:uiPriority w:val="99"/>
    <w:semiHidden/>
    <w:unhideWhenUsed/>
    <w:rsid w:val="004D5D24"/>
    <w:rPr>
      <w:vertAlign w:val="superscript"/>
    </w:rPr>
  </w:style>
  <w:style w:type="paragraph" w:customStyle="1" w:styleId="NormalFirstline05">
    <w:name w:val="Normal + First line:  0.5&quot;"/>
    <w:aliases w:val="Line spacing:  Double"/>
    <w:basedOn w:val="Normal"/>
    <w:rsid w:val="005A40D1"/>
    <w:pPr>
      <w:spacing w:before="240" w:line="480" w:lineRule="auto"/>
      <w:ind w:firstLine="720"/>
    </w:pPr>
    <w:rPr>
      <w:rFonts w:eastAsia="Times New Roman"/>
    </w:rPr>
  </w:style>
  <w:style w:type="paragraph" w:customStyle="1" w:styleId="Default">
    <w:name w:val="Default"/>
    <w:rsid w:val="005A40D1"/>
    <w:pPr>
      <w:autoSpaceDE w:val="0"/>
      <w:autoSpaceDN w:val="0"/>
      <w:adjustRightInd w:val="0"/>
    </w:pPr>
    <w:rPr>
      <w:rFonts w:ascii="Times New Roman" w:hAnsi="Times New Roman"/>
      <w:color w:val="000000"/>
      <w:sz w:val="24"/>
      <w:szCs w:val="24"/>
      <w:lang w:val="en-AU" w:eastAsia="en-US"/>
    </w:rPr>
  </w:style>
  <w:style w:type="character" w:styleId="Hyperlink">
    <w:name w:val="Hyperlink"/>
    <w:unhideWhenUsed/>
    <w:rsid w:val="005A40D1"/>
    <w:rPr>
      <w:color w:val="0000FF"/>
      <w:u w:val="single"/>
    </w:rPr>
  </w:style>
  <w:style w:type="character" w:styleId="HTMLCite">
    <w:name w:val="HTML Cite"/>
    <w:uiPriority w:val="99"/>
    <w:semiHidden/>
    <w:unhideWhenUsed/>
    <w:rsid w:val="005A40D1"/>
    <w:rPr>
      <w:i/>
      <w:iCs/>
    </w:rPr>
  </w:style>
  <w:style w:type="character" w:styleId="FollowedHyperlink">
    <w:name w:val="FollowedHyperlink"/>
    <w:uiPriority w:val="99"/>
    <w:semiHidden/>
    <w:unhideWhenUsed/>
    <w:rsid w:val="00CC7F58"/>
    <w:rPr>
      <w:color w:val="800080"/>
      <w:u w:val="single"/>
    </w:rPr>
  </w:style>
  <w:style w:type="paragraph" w:styleId="DocumentMap">
    <w:name w:val="Document Map"/>
    <w:basedOn w:val="Normal"/>
    <w:link w:val="DocumentMapChar"/>
    <w:uiPriority w:val="99"/>
    <w:semiHidden/>
    <w:unhideWhenUsed/>
    <w:rsid w:val="00D2265F"/>
    <w:pPr>
      <w:ind w:firstLine="720"/>
    </w:pPr>
    <w:rPr>
      <w:rFonts w:eastAsia="Batang"/>
      <w:lang w:eastAsia="ko-KR"/>
    </w:rPr>
  </w:style>
  <w:style w:type="character" w:customStyle="1" w:styleId="DocumentMapChar">
    <w:name w:val="Document Map Char"/>
    <w:link w:val="DocumentMap"/>
    <w:uiPriority w:val="99"/>
    <w:semiHidden/>
    <w:rsid w:val="00D2265F"/>
    <w:rPr>
      <w:rFonts w:ascii="Times New Roman" w:eastAsia="Batang" w:hAnsi="Times New Roman" w:cs="Times New Roman"/>
      <w:sz w:val="24"/>
      <w:szCs w:val="24"/>
      <w:lang w:eastAsia="ko-KR"/>
    </w:rPr>
  </w:style>
  <w:style w:type="character" w:customStyle="1" w:styleId="Heading3Char">
    <w:name w:val="Heading 3 Char"/>
    <w:link w:val="Heading3"/>
    <w:uiPriority w:val="9"/>
    <w:rsid w:val="00D2265F"/>
    <w:rPr>
      <w:rFonts w:ascii="Cambria" w:eastAsia="Times New Roman" w:hAnsi="Cambria" w:cs="Times New Roman"/>
      <w:color w:val="243F60"/>
      <w:sz w:val="24"/>
      <w:szCs w:val="24"/>
      <w:lang w:eastAsia="ko-KR"/>
    </w:rPr>
  </w:style>
  <w:style w:type="table" w:customStyle="1" w:styleId="TableGridLight1">
    <w:name w:val="Table Grid Light1"/>
    <w:basedOn w:val="TableNormal"/>
    <w:uiPriority w:val="40"/>
    <w:rsid w:val="0085473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59"/>
    <w:rsid w:val="00401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40C9"/>
    <w:pPr>
      <w:spacing w:before="100" w:beforeAutospacing="1" w:after="100" w:afterAutospacing="1"/>
    </w:pPr>
    <w:rPr>
      <w:rFonts w:eastAsia="Times New Roman"/>
    </w:rPr>
  </w:style>
  <w:style w:type="paragraph" w:styleId="Revision">
    <w:name w:val="Revision"/>
    <w:hidden/>
    <w:uiPriority w:val="71"/>
    <w:unhideWhenUsed/>
    <w:rsid w:val="00F87B9F"/>
    <w:rPr>
      <w:rFonts w:ascii="Times New Roman" w:hAnsi="Times New Roman"/>
      <w:sz w:val="24"/>
      <w:szCs w:val="24"/>
      <w:lang w:val="en-US" w:eastAsia="en-US"/>
    </w:rPr>
  </w:style>
  <w:style w:type="paragraph" w:styleId="ListParagraph">
    <w:name w:val="List Paragraph"/>
    <w:basedOn w:val="Normal"/>
    <w:uiPriority w:val="72"/>
    <w:qFormat/>
    <w:rsid w:val="009859B1"/>
    <w:pPr>
      <w:ind w:left="720"/>
      <w:contextualSpacing/>
    </w:pPr>
  </w:style>
  <w:style w:type="paragraph" w:customStyle="1" w:styleId="Content">
    <w:name w:val="Content"/>
    <w:basedOn w:val="Heading1"/>
    <w:rsid w:val="000F184F"/>
    <w:pPr>
      <w:keepLines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after="120" w:line="360" w:lineRule="auto"/>
      <w:outlineLvl w:val="9"/>
    </w:pPr>
    <w:rPr>
      <w:b/>
      <w:i w:val="0"/>
      <w:iCs w:val="0"/>
      <w:color w:val="auto"/>
      <w:kern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4772">
      <w:bodyDiv w:val="1"/>
      <w:marLeft w:val="0"/>
      <w:marRight w:val="0"/>
      <w:marTop w:val="0"/>
      <w:marBottom w:val="0"/>
      <w:divBdr>
        <w:top w:val="none" w:sz="0" w:space="0" w:color="auto"/>
        <w:left w:val="none" w:sz="0" w:space="0" w:color="auto"/>
        <w:bottom w:val="none" w:sz="0" w:space="0" w:color="auto"/>
        <w:right w:val="none" w:sz="0" w:space="0" w:color="auto"/>
      </w:divBdr>
    </w:div>
    <w:div w:id="85424453">
      <w:bodyDiv w:val="1"/>
      <w:marLeft w:val="0"/>
      <w:marRight w:val="0"/>
      <w:marTop w:val="0"/>
      <w:marBottom w:val="0"/>
      <w:divBdr>
        <w:top w:val="none" w:sz="0" w:space="0" w:color="auto"/>
        <w:left w:val="none" w:sz="0" w:space="0" w:color="auto"/>
        <w:bottom w:val="none" w:sz="0" w:space="0" w:color="auto"/>
        <w:right w:val="none" w:sz="0" w:space="0" w:color="auto"/>
      </w:divBdr>
    </w:div>
    <w:div w:id="93324510">
      <w:bodyDiv w:val="1"/>
      <w:marLeft w:val="0"/>
      <w:marRight w:val="0"/>
      <w:marTop w:val="0"/>
      <w:marBottom w:val="0"/>
      <w:divBdr>
        <w:top w:val="none" w:sz="0" w:space="0" w:color="auto"/>
        <w:left w:val="none" w:sz="0" w:space="0" w:color="auto"/>
        <w:bottom w:val="none" w:sz="0" w:space="0" w:color="auto"/>
        <w:right w:val="none" w:sz="0" w:space="0" w:color="auto"/>
      </w:divBdr>
    </w:div>
    <w:div w:id="141242431">
      <w:bodyDiv w:val="1"/>
      <w:marLeft w:val="0"/>
      <w:marRight w:val="0"/>
      <w:marTop w:val="0"/>
      <w:marBottom w:val="0"/>
      <w:divBdr>
        <w:top w:val="none" w:sz="0" w:space="0" w:color="auto"/>
        <w:left w:val="none" w:sz="0" w:space="0" w:color="auto"/>
        <w:bottom w:val="none" w:sz="0" w:space="0" w:color="auto"/>
        <w:right w:val="none" w:sz="0" w:space="0" w:color="auto"/>
      </w:divBdr>
    </w:div>
    <w:div w:id="197669175">
      <w:bodyDiv w:val="1"/>
      <w:marLeft w:val="0"/>
      <w:marRight w:val="0"/>
      <w:marTop w:val="0"/>
      <w:marBottom w:val="0"/>
      <w:divBdr>
        <w:top w:val="none" w:sz="0" w:space="0" w:color="auto"/>
        <w:left w:val="none" w:sz="0" w:space="0" w:color="auto"/>
        <w:bottom w:val="none" w:sz="0" w:space="0" w:color="auto"/>
        <w:right w:val="none" w:sz="0" w:space="0" w:color="auto"/>
      </w:divBdr>
    </w:div>
    <w:div w:id="263651940">
      <w:bodyDiv w:val="1"/>
      <w:marLeft w:val="0"/>
      <w:marRight w:val="0"/>
      <w:marTop w:val="0"/>
      <w:marBottom w:val="0"/>
      <w:divBdr>
        <w:top w:val="none" w:sz="0" w:space="0" w:color="auto"/>
        <w:left w:val="none" w:sz="0" w:space="0" w:color="auto"/>
        <w:bottom w:val="none" w:sz="0" w:space="0" w:color="auto"/>
        <w:right w:val="none" w:sz="0" w:space="0" w:color="auto"/>
      </w:divBdr>
    </w:div>
    <w:div w:id="264971298">
      <w:bodyDiv w:val="1"/>
      <w:marLeft w:val="0"/>
      <w:marRight w:val="0"/>
      <w:marTop w:val="0"/>
      <w:marBottom w:val="0"/>
      <w:divBdr>
        <w:top w:val="none" w:sz="0" w:space="0" w:color="auto"/>
        <w:left w:val="none" w:sz="0" w:space="0" w:color="auto"/>
        <w:bottom w:val="none" w:sz="0" w:space="0" w:color="auto"/>
        <w:right w:val="none" w:sz="0" w:space="0" w:color="auto"/>
      </w:divBdr>
    </w:div>
    <w:div w:id="295182896">
      <w:bodyDiv w:val="1"/>
      <w:marLeft w:val="0"/>
      <w:marRight w:val="0"/>
      <w:marTop w:val="0"/>
      <w:marBottom w:val="0"/>
      <w:divBdr>
        <w:top w:val="none" w:sz="0" w:space="0" w:color="auto"/>
        <w:left w:val="none" w:sz="0" w:space="0" w:color="auto"/>
        <w:bottom w:val="none" w:sz="0" w:space="0" w:color="auto"/>
        <w:right w:val="none" w:sz="0" w:space="0" w:color="auto"/>
      </w:divBdr>
    </w:div>
    <w:div w:id="380400884">
      <w:bodyDiv w:val="1"/>
      <w:marLeft w:val="0"/>
      <w:marRight w:val="0"/>
      <w:marTop w:val="0"/>
      <w:marBottom w:val="0"/>
      <w:divBdr>
        <w:top w:val="none" w:sz="0" w:space="0" w:color="auto"/>
        <w:left w:val="none" w:sz="0" w:space="0" w:color="auto"/>
        <w:bottom w:val="none" w:sz="0" w:space="0" w:color="auto"/>
        <w:right w:val="none" w:sz="0" w:space="0" w:color="auto"/>
      </w:divBdr>
    </w:div>
    <w:div w:id="460612073">
      <w:bodyDiv w:val="1"/>
      <w:marLeft w:val="0"/>
      <w:marRight w:val="0"/>
      <w:marTop w:val="0"/>
      <w:marBottom w:val="0"/>
      <w:divBdr>
        <w:top w:val="none" w:sz="0" w:space="0" w:color="auto"/>
        <w:left w:val="none" w:sz="0" w:space="0" w:color="auto"/>
        <w:bottom w:val="none" w:sz="0" w:space="0" w:color="auto"/>
        <w:right w:val="none" w:sz="0" w:space="0" w:color="auto"/>
      </w:divBdr>
    </w:div>
    <w:div w:id="481428304">
      <w:bodyDiv w:val="1"/>
      <w:marLeft w:val="0"/>
      <w:marRight w:val="0"/>
      <w:marTop w:val="0"/>
      <w:marBottom w:val="0"/>
      <w:divBdr>
        <w:top w:val="none" w:sz="0" w:space="0" w:color="auto"/>
        <w:left w:val="none" w:sz="0" w:space="0" w:color="auto"/>
        <w:bottom w:val="none" w:sz="0" w:space="0" w:color="auto"/>
        <w:right w:val="none" w:sz="0" w:space="0" w:color="auto"/>
      </w:divBdr>
    </w:div>
    <w:div w:id="487329990">
      <w:bodyDiv w:val="1"/>
      <w:marLeft w:val="0"/>
      <w:marRight w:val="0"/>
      <w:marTop w:val="0"/>
      <w:marBottom w:val="0"/>
      <w:divBdr>
        <w:top w:val="none" w:sz="0" w:space="0" w:color="auto"/>
        <w:left w:val="none" w:sz="0" w:space="0" w:color="auto"/>
        <w:bottom w:val="none" w:sz="0" w:space="0" w:color="auto"/>
        <w:right w:val="none" w:sz="0" w:space="0" w:color="auto"/>
      </w:divBdr>
    </w:div>
    <w:div w:id="487748356">
      <w:bodyDiv w:val="1"/>
      <w:marLeft w:val="0"/>
      <w:marRight w:val="0"/>
      <w:marTop w:val="0"/>
      <w:marBottom w:val="0"/>
      <w:divBdr>
        <w:top w:val="none" w:sz="0" w:space="0" w:color="auto"/>
        <w:left w:val="none" w:sz="0" w:space="0" w:color="auto"/>
        <w:bottom w:val="none" w:sz="0" w:space="0" w:color="auto"/>
        <w:right w:val="none" w:sz="0" w:space="0" w:color="auto"/>
      </w:divBdr>
    </w:div>
    <w:div w:id="523790102">
      <w:bodyDiv w:val="1"/>
      <w:marLeft w:val="0"/>
      <w:marRight w:val="0"/>
      <w:marTop w:val="0"/>
      <w:marBottom w:val="0"/>
      <w:divBdr>
        <w:top w:val="none" w:sz="0" w:space="0" w:color="auto"/>
        <w:left w:val="none" w:sz="0" w:space="0" w:color="auto"/>
        <w:bottom w:val="none" w:sz="0" w:space="0" w:color="auto"/>
        <w:right w:val="none" w:sz="0" w:space="0" w:color="auto"/>
      </w:divBdr>
    </w:div>
    <w:div w:id="566721075">
      <w:bodyDiv w:val="1"/>
      <w:marLeft w:val="0"/>
      <w:marRight w:val="0"/>
      <w:marTop w:val="0"/>
      <w:marBottom w:val="0"/>
      <w:divBdr>
        <w:top w:val="none" w:sz="0" w:space="0" w:color="auto"/>
        <w:left w:val="none" w:sz="0" w:space="0" w:color="auto"/>
        <w:bottom w:val="none" w:sz="0" w:space="0" w:color="auto"/>
        <w:right w:val="none" w:sz="0" w:space="0" w:color="auto"/>
      </w:divBdr>
    </w:div>
    <w:div w:id="577986478">
      <w:bodyDiv w:val="1"/>
      <w:marLeft w:val="0"/>
      <w:marRight w:val="0"/>
      <w:marTop w:val="0"/>
      <w:marBottom w:val="0"/>
      <w:divBdr>
        <w:top w:val="none" w:sz="0" w:space="0" w:color="auto"/>
        <w:left w:val="none" w:sz="0" w:space="0" w:color="auto"/>
        <w:bottom w:val="none" w:sz="0" w:space="0" w:color="auto"/>
        <w:right w:val="none" w:sz="0" w:space="0" w:color="auto"/>
      </w:divBdr>
    </w:div>
    <w:div w:id="580260363">
      <w:bodyDiv w:val="1"/>
      <w:marLeft w:val="0"/>
      <w:marRight w:val="0"/>
      <w:marTop w:val="0"/>
      <w:marBottom w:val="0"/>
      <w:divBdr>
        <w:top w:val="none" w:sz="0" w:space="0" w:color="auto"/>
        <w:left w:val="none" w:sz="0" w:space="0" w:color="auto"/>
        <w:bottom w:val="none" w:sz="0" w:space="0" w:color="auto"/>
        <w:right w:val="none" w:sz="0" w:space="0" w:color="auto"/>
      </w:divBdr>
    </w:div>
    <w:div w:id="582570768">
      <w:bodyDiv w:val="1"/>
      <w:marLeft w:val="0"/>
      <w:marRight w:val="0"/>
      <w:marTop w:val="0"/>
      <w:marBottom w:val="0"/>
      <w:divBdr>
        <w:top w:val="none" w:sz="0" w:space="0" w:color="auto"/>
        <w:left w:val="none" w:sz="0" w:space="0" w:color="auto"/>
        <w:bottom w:val="none" w:sz="0" w:space="0" w:color="auto"/>
        <w:right w:val="none" w:sz="0" w:space="0" w:color="auto"/>
      </w:divBdr>
    </w:div>
    <w:div w:id="590703140">
      <w:bodyDiv w:val="1"/>
      <w:marLeft w:val="0"/>
      <w:marRight w:val="0"/>
      <w:marTop w:val="0"/>
      <w:marBottom w:val="0"/>
      <w:divBdr>
        <w:top w:val="none" w:sz="0" w:space="0" w:color="auto"/>
        <w:left w:val="none" w:sz="0" w:space="0" w:color="auto"/>
        <w:bottom w:val="none" w:sz="0" w:space="0" w:color="auto"/>
        <w:right w:val="none" w:sz="0" w:space="0" w:color="auto"/>
      </w:divBdr>
    </w:div>
    <w:div w:id="620111925">
      <w:bodyDiv w:val="1"/>
      <w:marLeft w:val="0"/>
      <w:marRight w:val="0"/>
      <w:marTop w:val="0"/>
      <w:marBottom w:val="0"/>
      <w:divBdr>
        <w:top w:val="none" w:sz="0" w:space="0" w:color="auto"/>
        <w:left w:val="none" w:sz="0" w:space="0" w:color="auto"/>
        <w:bottom w:val="none" w:sz="0" w:space="0" w:color="auto"/>
        <w:right w:val="none" w:sz="0" w:space="0" w:color="auto"/>
      </w:divBdr>
    </w:div>
    <w:div w:id="690840702">
      <w:bodyDiv w:val="1"/>
      <w:marLeft w:val="0"/>
      <w:marRight w:val="0"/>
      <w:marTop w:val="0"/>
      <w:marBottom w:val="0"/>
      <w:divBdr>
        <w:top w:val="none" w:sz="0" w:space="0" w:color="auto"/>
        <w:left w:val="none" w:sz="0" w:space="0" w:color="auto"/>
        <w:bottom w:val="none" w:sz="0" w:space="0" w:color="auto"/>
        <w:right w:val="none" w:sz="0" w:space="0" w:color="auto"/>
      </w:divBdr>
    </w:div>
    <w:div w:id="786854434">
      <w:bodyDiv w:val="1"/>
      <w:marLeft w:val="0"/>
      <w:marRight w:val="0"/>
      <w:marTop w:val="0"/>
      <w:marBottom w:val="0"/>
      <w:divBdr>
        <w:top w:val="none" w:sz="0" w:space="0" w:color="auto"/>
        <w:left w:val="none" w:sz="0" w:space="0" w:color="auto"/>
        <w:bottom w:val="none" w:sz="0" w:space="0" w:color="auto"/>
        <w:right w:val="none" w:sz="0" w:space="0" w:color="auto"/>
      </w:divBdr>
    </w:div>
    <w:div w:id="926645830">
      <w:bodyDiv w:val="1"/>
      <w:marLeft w:val="0"/>
      <w:marRight w:val="0"/>
      <w:marTop w:val="0"/>
      <w:marBottom w:val="0"/>
      <w:divBdr>
        <w:top w:val="none" w:sz="0" w:space="0" w:color="auto"/>
        <w:left w:val="none" w:sz="0" w:space="0" w:color="auto"/>
        <w:bottom w:val="none" w:sz="0" w:space="0" w:color="auto"/>
        <w:right w:val="none" w:sz="0" w:space="0" w:color="auto"/>
      </w:divBdr>
    </w:div>
    <w:div w:id="990982185">
      <w:bodyDiv w:val="1"/>
      <w:marLeft w:val="0"/>
      <w:marRight w:val="0"/>
      <w:marTop w:val="0"/>
      <w:marBottom w:val="0"/>
      <w:divBdr>
        <w:top w:val="none" w:sz="0" w:space="0" w:color="auto"/>
        <w:left w:val="none" w:sz="0" w:space="0" w:color="auto"/>
        <w:bottom w:val="none" w:sz="0" w:space="0" w:color="auto"/>
        <w:right w:val="none" w:sz="0" w:space="0" w:color="auto"/>
      </w:divBdr>
    </w:div>
    <w:div w:id="1032340195">
      <w:bodyDiv w:val="1"/>
      <w:marLeft w:val="0"/>
      <w:marRight w:val="0"/>
      <w:marTop w:val="0"/>
      <w:marBottom w:val="0"/>
      <w:divBdr>
        <w:top w:val="none" w:sz="0" w:space="0" w:color="auto"/>
        <w:left w:val="none" w:sz="0" w:space="0" w:color="auto"/>
        <w:bottom w:val="none" w:sz="0" w:space="0" w:color="auto"/>
        <w:right w:val="none" w:sz="0" w:space="0" w:color="auto"/>
      </w:divBdr>
    </w:div>
    <w:div w:id="1064446608">
      <w:bodyDiv w:val="1"/>
      <w:marLeft w:val="0"/>
      <w:marRight w:val="0"/>
      <w:marTop w:val="0"/>
      <w:marBottom w:val="0"/>
      <w:divBdr>
        <w:top w:val="none" w:sz="0" w:space="0" w:color="auto"/>
        <w:left w:val="none" w:sz="0" w:space="0" w:color="auto"/>
        <w:bottom w:val="none" w:sz="0" w:space="0" w:color="auto"/>
        <w:right w:val="none" w:sz="0" w:space="0" w:color="auto"/>
      </w:divBdr>
    </w:div>
    <w:div w:id="1152914210">
      <w:bodyDiv w:val="1"/>
      <w:marLeft w:val="0"/>
      <w:marRight w:val="0"/>
      <w:marTop w:val="0"/>
      <w:marBottom w:val="0"/>
      <w:divBdr>
        <w:top w:val="none" w:sz="0" w:space="0" w:color="auto"/>
        <w:left w:val="none" w:sz="0" w:space="0" w:color="auto"/>
        <w:bottom w:val="none" w:sz="0" w:space="0" w:color="auto"/>
        <w:right w:val="none" w:sz="0" w:space="0" w:color="auto"/>
      </w:divBdr>
    </w:div>
    <w:div w:id="1171140210">
      <w:bodyDiv w:val="1"/>
      <w:marLeft w:val="0"/>
      <w:marRight w:val="0"/>
      <w:marTop w:val="0"/>
      <w:marBottom w:val="0"/>
      <w:divBdr>
        <w:top w:val="none" w:sz="0" w:space="0" w:color="auto"/>
        <w:left w:val="none" w:sz="0" w:space="0" w:color="auto"/>
        <w:bottom w:val="none" w:sz="0" w:space="0" w:color="auto"/>
        <w:right w:val="none" w:sz="0" w:space="0" w:color="auto"/>
      </w:divBdr>
    </w:div>
    <w:div w:id="1228685820">
      <w:bodyDiv w:val="1"/>
      <w:marLeft w:val="0"/>
      <w:marRight w:val="0"/>
      <w:marTop w:val="0"/>
      <w:marBottom w:val="0"/>
      <w:divBdr>
        <w:top w:val="none" w:sz="0" w:space="0" w:color="auto"/>
        <w:left w:val="none" w:sz="0" w:space="0" w:color="auto"/>
        <w:bottom w:val="none" w:sz="0" w:space="0" w:color="auto"/>
        <w:right w:val="none" w:sz="0" w:space="0" w:color="auto"/>
      </w:divBdr>
    </w:div>
    <w:div w:id="1240284386">
      <w:bodyDiv w:val="1"/>
      <w:marLeft w:val="0"/>
      <w:marRight w:val="0"/>
      <w:marTop w:val="0"/>
      <w:marBottom w:val="0"/>
      <w:divBdr>
        <w:top w:val="none" w:sz="0" w:space="0" w:color="auto"/>
        <w:left w:val="none" w:sz="0" w:space="0" w:color="auto"/>
        <w:bottom w:val="none" w:sz="0" w:space="0" w:color="auto"/>
        <w:right w:val="none" w:sz="0" w:space="0" w:color="auto"/>
      </w:divBdr>
    </w:div>
    <w:div w:id="1395393105">
      <w:bodyDiv w:val="1"/>
      <w:marLeft w:val="0"/>
      <w:marRight w:val="0"/>
      <w:marTop w:val="0"/>
      <w:marBottom w:val="0"/>
      <w:divBdr>
        <w:top w:val="none" w:sz="0" w:space="0" w:color="auto"/>
        <w:left w:val="none" w:sz="0" w:space="0" w:color="auto"/>
        <w:bottom w:val="none" w:sz="0" w:space="0" w:color="auto"/>
        <w:right w:val="none" w:sz="0" w:space="0" w:color="auto"/>
      </w:divBdr>
    </w:div>
    <w:div w:id="1404990991">
      <w:bodyDiv w:val="1"/>
      <w:marLeft w:val="0"/>
      <w:marRight w:val="0"/>
      <w:marTop w:val="0"/>
      <w:marBottom w:val="0"/>
      <w:divBdr>
        <w:top w:val="none" w:sz="0" w:space="0" w:color="auto"/>
        <w:left w:val="none" w:sz="0" w:space="0" w:color="auto"/>
        <w:bottom w:val="none" w:sz="0" w:space="0" w:color="auto"/>
        <w:right w:val="none" w:sz="0" w:space="0" w:color="auto"/>
      </w:divBdr>
    </w:div>
    <w:div w:id="1453524084">
      <w:bodyDiv w:val="1"/>
      <w:marLeft w:val="0"/>
      <w:marRight w:val="0"/>
      <w:marTop w:val="0"/>
      <w:marBottom w:val="0"/>
      <w:divBdr>
        <w:top w:val="none" w:sz="0" w:space="0" w:color="auto"/>
        <w:left w:val="none" w:sz="0" w:space="0" w:color="auto"/>
        <w:bottom w:val="none" w:sz="0" w:space="0" w:color="auto"/>
        <w:right w:val="none" w:sz="0" w:space="0" w:color="auto"/>
      </w:divBdr>
    </w:div>
    <w:div w:id="1552375395">
      <w:bodyDiv w:val="1"/>
      <w:marLeft w:val="0"/>
      <w:marRight w:val="0"/>
      <w:marTop w:val="0"/>
      <w:marBottom w:val="0"/>
      <w:divBdr>
        <w:top w:val="none" w:sz="0" w:space="0" w:color="auto"/>
        <w:left w:val="none" w:sz="0" w:space="0" w:color="auto"/>
        <w:bottom w:val="none" w:sz="0" w:space="0" w:color="auto"/>
        <w:right w:val="none" w:sz="0" w:space="0" w:color="auto"/>
      </w:divBdr>
    </w:div>
    <w:div w:id="1554124674">
      <w:bodyDiv w:val="1"/>
      <w:marLeft w:val="0"/>
      <w:marRight w:val="0"/>
      <w:marTop w:val="0"/>
      <w:marBottom w:val="0"/>
      <w:divBdr>
        <w:top w:val="none" w:sz="0" w:space="0" w:color="auto"/>
        <w:left w:val="none" w:sz="0" w:space="0" w:color="auto"/>
        <w:bottom w:val="none" w:sz="0" w:space="0" w:color="auto"/>
        <w:right w:val="none" w:sz="0" w:space="0" w:color="auto"/>
      </w:divBdr>
    </w:div>
    <w:div w:id="1557931610">
      <w:bodyDiv w:val="1"/>
      <w:marLeft w:val="0"/>
      <w:marRight w:val="0"/>
      <w:marTop w:val="0"/>
      <w:marBottom w:val="0"/>
      <w:divBdr>
        <w:top w:val="none" w:sz="0" w:space="0" w:color="auto"/>
        <w:left w:val="none" w:sz="0" w:space="0" w:color="auto"/>
        <w:bottom w:val="none" w:sz="0" w:space="0" w:color="auto"/>
        <w:right w:val="none" w:sz="0" w:space="0" w:color="auto"/>
      </w:divBdr>
    </w:div>
    <w:div w:id="1570462075">
      <w:bodyDiv w:val="1"/>
      <w:marLeft w:val="0"/>
      <w:marRight w:val="0"/>
      <w:marTop w:val="0"/>
      <w:marBottom w:val="0"/>
      <w:divBdr>
        <w:top w:val="none" w:sz="0" w:space="0" w:color="auto"/>
        <w:left w:val="none" w:sz="0" w:space="0" w:color="auto"/>
        <w:bottom w:val="none" w:sz="0" w:space="0" w:color="auto"/>
        <w:right w:val="none" w:sz="0" w:space="0" w:color="auto"/>
      </w:divBdr>
    </w:div>
    <w:div w:id="1585921459">
      <w:bodyDiv w:val="1"/>
      <w:marLeft w:val="0"/>
      <w:marRight w:val="0"/>
      <w:marTop w:val="0"/>
      <w:marBottom w:val="0"/>
      <w:divBdr>
        <w:top w:val="none" w:sz="0" w:space="0" w:color="auto"/>
        <w:left w:val="none" w:sz="0" w:space="0" w:color="auto"/>
        <w:bottom w:val="none" w:sz="0" w:space="0" w:color="auto"/>
        <w:right w:val="none" w:sz="0" w:space="0" w:color="auto"/>
      </w:divBdr>
    </w:div>
    <w:div w:id="1596744999">
      <w:bodyDiv w:val="1"/>
      <w:marLeft w:val="0"/>
      <w:marRight w:val="0"/>
      <w:marTop w:val="0"/>
      <w:marBottom w:val="0"/>
      <w:divBdr>
        <w:top w:val="none" w:sz="0" w:space="0" w:color="auto"/>
        <w:left w:val="none" w:sz="0" w:space="0" w:color="auto"/>
        <w:bottom w:val="none" w:sz="0" w:space="0" w:color="auto"/>
        <w:right w:val="none" w:sz="0" w:space="0" w:color="auto"/>
      </w:divBdr>
    </w:div>
    <w:div w:id="1621378299">
      <w:bodyDiv w:val="1"/>
      <w:marLeft w:val="0"/>
      <w:marRight w:val="0"/>
      <w:marTop w:val="0"/>
      <w:marBottom w:val="0"/>
      <w:divBdr>
        <w:top w:val="none" w:sz="0" w:space="0" w:color="auto"/>
        <w:left w:val="none" w:sz="0" w:space="0" w:color="auto"/>
        <w:bottom w:val="none" w:sz="0" w:space="0" w:color="auto"/>
        <w:right w:val="none" w:sz="0" w:space="0" w:color="auto"/>
      </w:divBdr>
    </w:div>
    <w:div w:id="1685396922">
      <w:bodyDiv w:val="1"/>
      <w:marLeft w:val="0"/>
      <w:marRight w:val="0"/>
      <w:marTop w:val="0"/>
      <w:marBottom w:val="0"/>
      <w:divBdr>
        <w:top w:val="none" w:sz="0" w:space="0" w:color="auto"/>
        <w:left w:val="none" w:sz="0" w:space="0" w:color="auto"/>
        <w:bottom w:val="none" w:sz="0" w:space="0" w:color="auto"/>
        <w:right w:val="none" w:sz="0" w:space="0" w:color="auto"/>
      </w:divBdr>
    </w:div>
    <w:div w:id="1870099613">
      <w:bodyDiv w:val="1"/>
      <w:marLeft w:val="0"/>
      <w:marRight w:val="0"/>
      <w:marTop w:val="0"/>
      <w:marBottom w:val="0"/>
      <w:divBdr>
        <w:top w:val="none" w:sz="0" w:space="0" w:color="auto"/>
        <w:left w:val="none" w:sz="0" w:space="0" w:color="auto"/>
        <w:bottom w:val="none" w:sz="0" w:space="0" w:color="auto"/>
        <w:right w:val="none" w:sz="0" w:space="0" w:color="auto"/>
      </w:divBdr>
    </w:div>
    <w:div w:id="1918321090">
      <w:bodyDiv w:val="1"/>
      <w:marLeft w:val="0"/>
      <w:marRight w:val="0"/>
      <w:marTop w:val="0"/>
      <w:marBottom w:val="0"/>
      <w:divBdr>
        <w:top w:val="none" w:sz="0" w:space="0" w:color="auto"/>
        <w:left w:val="none" w:sz="0" w:space="0" w:color="auto"/>
        <w:bottom w:val="none" w:sz="0" w:space="0" w:color="auto"/>
        <w:right w:val="none" w:sz="0" w:space="0" w:color="auto"/>
      </w:divBdr>
    </w:div>
    <w:div w:id="2002731072">
      <w:bodyDiv w:val="1"/>
      <w:marLeft w:val="0"/>
      <w:marRight w:val="0"/>
      <w:marTop w:val="0"/>
      <w:marBottom w:val="0"/>
      <w:divBdr>
        <w:top w:val="none" w:sz="0" w:space="0" w:color="auto"/>
        <w:left w:val="none" w:sz="0" w:space="0" w:color="auto"/>
        <w:bottom w:val="none" w:sz="0" w:space="0" w:color="auto"/>
        <w:right w:val="none" w:sz="0" w:space="0" w:color="auto"/>
      </w:divBdr>
    </w:div>
    <w:div w:id="2018531288">
      <w:bodyDiv w:val="1"/>
      <w:marLeft w:val="0"/>
      <w:marRight w:val="0"/>
      <w:marTop w:val="0"/>
      <w:marBottom w:val="0"/>
      <w:divBdr>
        <w:top w:val="none" w:sz="0" w:space="0" w:color="auto"/>
        <w:left w:val="none" w:sz="0" w:space="0" w:color="auto"/>
        <w:bottom w:val="none" w:sz="0" w:space="0" w:color="auto"/>
        <w:right w:val="none" w:sz="0" w:space="0" w:color="auto"/>
      </w:divBdr>
    </w:div>
    <w:div w:id="2061785993">
      <w:bodyDiv w:val="1"/>
      <w:marLeft w:val="0"/>
      <w:marRight w:val="0"/>
      <w:marTop w:val="0"/>
      <w:marBottom w:val="0"/>
      <w:divBdr>
        <w:top w:val="none" w:sz="0" w:space="0" w:color="auto"/>
        <w:left w:val="none" w:sz="0" w:space="0" w:color="auto"/>
        <w:bottom w:val="none" w:sz="0" w:space="0" w:color="auto"/>
        <w:right w:val="none" w:sz="0" w:space="0" w:color="auto"/>
      </w:divBdr>
    </w:div>
    <w:div w:id="2062317312">
      <w:bodyDiv w:val="1"/>
      <w:marLeft w:val="0"/>
      <w:marRight w:val="0"/>
      <w:marTop w:val="0"/>
      <w:marBottom w:val="0"/>
      <w:divBdr>
        <w:top w:val="none" w:sz="0" w:space="0" w:color="auto"/>
        <w:left w:val="none" w:sz="0" w:space="0" w:color="auto"/>
        <w:bottom w:val="none" w:sz="0" w:space="0" w:color="auto"/>
        <w:right w:val="none" w:sz="0" w:space="0" w:color="auto"/>
      </w:divBdr>
    </w:div>
    <w:div w:id="2065981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mar@unl.edu"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okm33\Downloads\Slope%20plots_Color2.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lokm33\Downloads\Slope%20plots_Color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okm33\Downloads\Slope%20plots_Color2.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lokm33\Downloads\Slope%20plots_Color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22"/>
      <c:depthPercent val="595"/>
      <c:rAngAx val="0"/>
      <c:perspective val="50"/>
    </c:view3D>
    <c:floor>
      <c:thickness val="0"/>
    </c:floor>
    <c:sideWall>
      <c:thickness val="0"/>
    </c:sideWall>
    <c:backWall>
      <c:thickness val="0"/>
    </c:backWall>
    <c:plotArea>
      <c:layout>
        <c:manualLayout>
          <c:layoutTarget val="inner"/>
          <c:xMode val="edge"/>
          <c:yMode val="edge"/>
          <c:x val="4.7777411057151137E-2"/>
          <c:y val="3.2700896048124914E-2"/>
          <c:w val="0.80921264647257818"/>
          <c:h val="0.908665991914409"/>
        </c:manualLayout>
      </c:layout>
      <c:surface3DChart>
        <c:wireframe val="0"/>
        <c:ser>
          <c:idx val="0"/>
          <c:order val="0"/>
          <c:tx>
            <c:strRef>
              <c:f>'Surfaces Aug 2017'!$H$4</c:f>
              <c:strCache>
                <c:ptCount val="1"/>
                <c:pt idx="0">
                  <c:v>-1.5</c:v>
                </c:pt>
              </c:strCache>
            </c:strRef>
          </c:tx>
          <c:cat>
            <c:numRef>
              <c:f>'Surfaces Aug 2017'!$G$5:$G$27</c:f>
              <c:numCache>
                <c:formatCode>General</c:formatCode>
                <c:ptCount val="23"/>
                <c:pt idx="0">
                  <c:v>-5.57</c:v>
                </c:pt>
                <c:pt idx="1">
                  <c:v>-5</c:v>
                </c:pt>
                <c:pt idx="2">
                  <c:v>-4.5</c:v>
                </c:pt>
                <c:pt idx="3">
                  <c:v>-4</c:v>
                </c:pt>
                <c:pt idx="4">
                  <c:v>-3.5</c:v>
                </c:pt>
                <c:pt idx="5">
                  <c:v>-3</c:v>
                </c:pt>
                <c:pt idx="6">
                  <c:v>-2.5</c:v>
                </c:pt>
                <c:pt idx="7">
                  <c:v>-2</c:v>
                </c:pt>
                <c:pt idx="8">
                  <c:v>-1.5</c:v>
                </c:pt>
                <c:pt idx="9">
                  <c:v>-1</c:v>
                </c:pt>
                <c:pt idx="10">
                  <c:v>-0.5</c:v>
                </c:pt>
                <c:pt idx="11">
                  <c:v>0</c:v>
                </c:pt>
                <c:pt idx="12">
                  <c:v>0.5</c:v>
                </c:pt>
                <c:pt idx="13">
                  <c:v>1</c:v>
                </c:pt>
                <c:pt idx="14">
                  <c:v>1.5</c:v>
                </c:pt>
                <c:pt idx="15">
                  <c:v>2</c:v>
                </c:pt>
                <c:pt idx="16">
                  <c:v>2.5</c:v>
                </c:pt>
                <c:pt idx="17">
                  <c:v>3</c:v>
                </c:pt>
                <c:pt idx="18">
                  <c:v>3.5</c:v>
                </c:pt>
                <c:pt idx="19">
                  <c:v>4</c:v>
                </c:pt>
                <c:pt idx="20">
                  <c:v>4.5</c:v>
                </c:pt>
                <c:pt idx="21">
                  <c:v>5</c:v>
                </c:pt>
                <c:pt idx="22">
                  <c:v>5.48</c:v>
                </c:pt>
              </c:numCache>
            </c:numRef>
          </c:cat>
          <c:val>
            <c:numRef>
              <c:f>'Surfaces Aug 2017'!$H$5:$H$27</c:f>
              <c:numCache>
                <c:formatCode>General</c:formatCode>
                <c:ptCount val="23"/>
                <c:pt idx="0">
                  <c:v>-0.73640000000000005</c:v>
                </c:pt>
                <c:pt idx="1">
                  <c:v>-0.78200000000000003</c:v>
                </c:pt>
                <c:pt idx="2">
                  <c:v>-0.82200000000000095</c:v>
                </c:pt>
                <c:pt idx="3">
                  <c:v>-0.86200000000000321</c:v>
                </c:pt>
                <c:pt idx="4">
                  <c:v>-0.90200000000000002</c:v>
                </c:pt>
                <c:pt idx="5">
                  <c:v>-0.94200000000000095</c:v>
                </c:pt>
                <c:pt idx="6">
                  <c:v>-0.98199999999999998</c:v>
                </c:pt>
                <c:pt idx="7">
                  <c:v>-1.022</c:v>
                </c:pt>
                <c:pt idx="8">
                  <c:v>-1.0620000000000001</c:v>
                </c:pt>
                <c:pt idx="9">
                  <c:v>-1.1019999999999786</c:v>
                </c:pt>
                <c:pt idx="10">
                  <c:v>-1.1419999999999826</c:v>
                </c:pt>
                <c:pt idx="11">
                  <c:v>-1.1819999999999835</c:v>
                </c:pt>
                <c:pt idx="12">
                  <c:v>-1.222</c:v>
                </c:pt>
                <c:pt idx="13">
                  <c:v>-1.262</c:v>
                </c:pt>
                <c:pt idx="14">
                  <c:v>-1.3019999999999763</c:v>
                </c:pt>
                <c:pt idx="15">
                  <c:v>-1.3419999999999785</c:v>
                </c:pt>
                <c:pt idx="16">
                  <c:v>-1.3819999999999855</c:v>
                </c:pt>
                <c:pt idx="17">
                  <c:v>-1.4219999999999662</c:v>
                </c:pt>
                <c:pt idx="18">
                  <c:v>-1.462</c:v>
                </c:pt>
                <c:pt idx="19">
                  <c:v>-1.501999999999972</c:v>
                </c:pt>
                <c:pt idx="20">
                  <c:v>-1.542</c:v>
                </c:pt>
                <c:pt idx="21">
                  <c:v>-1.5819999999999785</c:v>
                </c:pt>
                <c:pt idx="22">
                  <c:v>-1.6204000000000001</c:v>
                </c:pt>
              </c:numCache>
            </c:numRef>
          </c:val>
          <c:extLst>
            <c:ext xmlns:c16="http://schemas.microsoft.com/office/drawing/2014/chart" uri="{C3380CC4-5D6E-409C-BE32-E72D297353CC}">
              <c16:uniqueId val="{00000000-568E-46FD-AC8B-650197EF6542}"/>
            </c:ext>
          </c:extLst>
        </c:ser>
        <c:ser>
          <c:idx val="1"/>
          <c:order val="1"/>
          <c:tx>
            <c:strRef>
              <c:f>'Surfaces Aug 2017'!$I$4</c:f>
              <c:strCache>
                <c:ptCount val="1"/>
                <c:pt idx="0">
                  <c:v>-1</c:v>
                </c:pt>
              </c:strCache>
            </c:strRef>
          </c:tx>
          <c:cat>
            <c:numRef>
              <c:f>'Surfaces Aug 2017'!$G$5:$G$27</c:f>
              <c:numCache>
                <c:formatCode>General</c:formatCode>
                <c:ptCount val="23"/>
                <c:pt idx="0">
                  <c:v>-5.57</c:v>
                </c:pt>
                <c:pt idx="1">
                  <c:v>-5</c:v>
                </c:pt>
                <c:pt idx="2">
                  <c:v>-4.5</c:v>
                </c:pt>
                <c:pt idx="3">
                  <c:v>-4</c:v>
                </c:pt>
                <c:pt idx="4">
                  <c:v>-3.5</c:v>
                </c:pt>
                <c:pt idx="5">
                  <c:v>-3</c:v>
                </c:pt>
                <c:pt idx="6">
                  <c:v>-2.5</c:v>
                </c:pt>
                <c:pt idx="7">
                  <c:v>-2</c:v>
                </c:pt>
                <c:pt idx="8">
                  <c:v>-1.5</c:v>
                </c:pt>
                <c:pt idx="9">
                  <c:v>-1</c:v>
                </c:pt>
                <c:pt idx="10">
                  <c:v>-0.5</c:v>
                </c:pt>
                <c:pt idx="11">
                  <c:v>0</c:v>
                </c:pt>
                <c:pt idx="12">
                  <c:v>0.5</c:v>
                </c:pt>
                <c:pt idx="13">
                  <c:v>1</c:v>
                </c:pt>
                <c:pt idx="14">
                  <c:v>1.5</c:v>
                </c:pt>
                <c:pt idx="15">
                  <c:v>2</c:v>
                </c:pt>
                <c:pt idx="16">
                  <c:v>2.5</c:v>
                </c:pt>
                <c:pt idx="17">
                  <c:v>3</c:v>
                </c:pt>
                <c:pt idx="18">
                  <c:v>3.5</c:v>
                </c:pt>
                <c:pt idx="19">
                  <c:v>4</c:v>
                </c:pt>
                <c:pt idx="20">
                  <c:v>4.5</c:v>
                </c:pt>
                <c:pt idx="21">
                  <c:v>5</c:v>
                </c:pt>
                <c:pt idx="22">
                  <c:v>5.48</c:v>
                </c:pt>
              </c:numCache>
            </c:numRef>
          </c:cat>
          <c:val>
            <c:numRef>
              <c:f>'Surfaces Aug 2017'!$I$5:$I$27</c:f>
              <c:numCache>
                <c:formatCode>General</c:formatCode>
                <c:ptCount val="23"/>
                <c:pt idx="0">
                  <c:v>-2.2900000000000007E-2</c:v>
                </c:pt>
                <c:pt idx="1">
                  <c:v>-9.7000000000000017E-2</c:v>
                </c:pt>
                <c:pt idx="2">
                  <c:v>-0.16200000000000003</c:v>
                </c:pt>
                <c:pt idx="3">
                  <c:v>-0.22700000000000004</c:v>
                </c:pt>
                <c:pt idx="4">
                  <c:v>-0.29200000000000009</c:v>
                </c:pt>
                <c:pt idx="5">
                  <c:v>-0.3570000000000001</c:v>
                </c:pt>
                <c:pt idx="6">
                  <c:v>-0.42200000000000015</c:v>
                </c:pt>
                <c:pt idx="7">
                  <c:v>-0.48700000000000015</c:v>
                </c:pt>
                <c:pt idx="8">
                  <c:v>-0.55200000000000005</c:v>
                </c:pt>
                <c:pt idx="9">
                  <c:v>-0.61700000000000721</c:v>
                </c:pt>
                <c:pt idx="10">
                  <c:v>-0.68200000000000427</c:v>
                </c:pt>
                <c:pt idx="11">
                  <c:v>-0.74700000000000721</c:v>
                </c:pt>
                <c:pt idx="12">
                  <c:v>-0.81200000000000105</c:v>
                </c:pt>
                <c:pt idx="13">
                  <c:v>-0.87700000000000922</c:v>
                </c:pt>
                <c:pt idx="14">
                  <c:v>-0.94200000000000195</c:v>
                </c:pt>
                <c:pt idx="15">
                  <c:v>-1.0069999999999826</c:v>
                </c:pt>
                <c:pt idx="16">
                  <c:v>-1.0720000000000001</c:v>
                </c:pt>
                <c:pt idx="17">
                  <c:v>-1.137</c:v>
                </c:pt>
                <c:pt idx="18">
                  <c:v>-1.202</c:v>
                </c:pt>
                <c:pt idx="19">
                  <c:v>-1.2669999999999826</c:v>
                </c:pt>
                <c:pt idx="20">
                  <c:v>-1.3320000000000001</c:v>
                </c:pt>
                <c:pt idx="21">
                  <c:v>-1.397</c:v>
                </c:pt>
                <c:pt idx="22">
                  <c:v>-1.4593999999999754</c:v>
                </c:pt>
              </c:numCache>
            </c:numRef>
          </c:val>
          <c:extLst>
            <c:ext xmlns:c16="http://schemas.microsoft.com/office/drawing/2014/chart" uri="{C3380CC4-5D6E-409C-BE32-E72D297353CC}">
              <c16:uniqueId val="{00000001-568E-46FD-AC8B-650197EF6542}"/>
            </c:ext>
          </c:extLst>
        </c:ser>
        <c:ser>
          <c:idx val="2"/>
          <c:order val="2"/>
          <c:tx>
            <c:strRef>
              <c:f>'Surfaces Aug 2017'!$J$4</c:f>
              <c:strCache>
                <c:ptCount val="1"/>
                <c:pt idx="0">
                  <c:v>-0.5</c:v>
                </c:pt>
              </c:strCache>
            </c:strRef>
          </c:tx>
          <c:cat>
            <c:numRef>
              <c:f>'Surfaces Aug 2017'!$G$5:$G$27</c:f>
              <c:numCache>
                <c:formatCode>General</c:formatCode>
                <c:ptCount val="23"/>
                <c:pt idx="0">
                  <c:v>-5.57</c:v>
                </c:pt>
                <c:pt idx="1">
                  <c:v>-5</c:v>
                </c:pt>
                <c:pt idx="2">
                  <c:v>-4.5</c:v>
                </c:pt>
                <c:pt idx="3">
                  <c:v>-4</c:v>
                </c:pt>
                <c:pt idx="4">
                  <c:v>-3.5</c:v>
                </c:pt>
                <c:pt idx="5">
                  <c:v>-3</c:v>
                </c:pt>
                <c:pt idx="6">
                  <c:v>-2.5</c:v>
                </c:pt>
                <c:pt idx="7">
                  <c:v>-2</c:v>
                </c:pt>
                <c:pt idx="8">
                  <c:v>-1.5</c:v>
                </c:pt>
                <c:pt idx="9">
                  <c:v>-1</c:v>
                </c:pt>
                <c:pt idx="10">
                  <c:v>-0.5</c:v>
                </c:pt>
                <c:pt idx="11">
                  <c:v>0</c:v>
                </c:pt>
                <c:pt idx="12">
                  <c:v>0.5</c:v>
                </c:pt>
                <c:pt idx="13">
                  <c:v>1</c:v>
                </c:pt>
                <c:pt idx="14">
                  <c:v>1.5</c:v>
                </c:pt>
                <c:pt idx="15">
                  <c:v>2</c:v>
                </c:pt>
                <c:pt idx="16">
                  <c:v>2.5</c:v>
                </c:pt>
                <c:pt idx="17">
                  <c:v>3</c:v>
                </c:pt>
                <c:pt idx="18">
                  <c:v>3.5</c:v>
                </c:pt>
                <c:pt idx="19">
                  <c:v>4</c:v>
                </c:pt>
                <c:pt idx="20">
                  <c:v>4.5</c:v>
                </c:pt>
                <c:pt idx="21">
                  <c:v>5</c:v>
                </c:pt>
                <c:pt idx="22">
                  <c:v>5.48</c:v>
                </c:pt>
              </c:numCache>
            </c:numRef>
          </c:cat>
          <c:val>
            <c:numRef>
              <c:f>'Surfaces Aug 2017'!$J$5:$J$27</c:f>
              <c:numCache>
                <c:formatCode>General</c:formatCode>
                <c:ptCount val="23"/>
                <c:pt idx="0">
                  <c:v>0.69060000000000932</c:v>
                </c:pt>
                <c:pt idx="1">
                  <c:v>0.58800000000000208</c:v>
                </c:pt>
                <c:pt idx="2">
                  <c:v>0.49800000000000311</c:v>
                </c:pt>
                <c:pt idx="3">
                  <c:v>0.40800000000000008</c:v>
                </c:pt>
                <c:pt idx="4">
                  <c:v>0.31800000000000411</c:v>
                </c:pt>
                <c:pt idx="5">
                  <c:v>0.22800000000000004</c:v>
                </c:pt>
                <c:pt idx="6">
                  <c:v>0.13800000000000001</c:v>
                </c:pt>
                <c:pt idx="7">
                  <c:v>4.8000000000000112E-2</c:v>
                </c:pt>
                <c:pt idx="8">
                  <c:v>-4.2000000000000114E-2</c:v>
                </c:pt>
                <c:pt idx="9">
                  <c:v>-0.13200000000000001</c:v>
                </c:pt>
                <c:pt idx="10">
                  <c:v>-0.22200000000000003</c:v>
                </c:pt>
                <c:pt idx="11">
                  <c:v>-0.31200000000000311</c:v>
                </c:pt>
                <c:pt idx="12">
                  <c:v>-0.40200000000000002</c:v>
                </c:pt>
                <c:pt idx="13">
                  <c:v>-0.49200000000000016</c:v>
                </c:pt>
                <c:pt idx="14">
                  <c:v>-0.58200000000000207</c:v>
                </c:pt>
                <c:pt idx="15">
                  <c:v>-0.67200000000001125</c:v>
                </c:pt>
                <c:pt idx="16">
                  <c:v>-0.76200000000000823</c:v>
                </c:pt>
                <c:pt idx="17">
                  <c:v>-0.8520000000000032</c:v>
                </c:pt>
                <c:pt idx="18">
                  <c:v>-0.94200000000000095</c:v>
                </c:pt>
                <c:pt idx="19">
                  <c:v>-1.032</c:v>
                </c:pt>
                <c:pt idx="20">
                  <c:v>-1.1220000000000001</c:v>
                </c:pt>
                <c:pt idx="21">
                  <c:v>-1.212</c:v>
                </c:pt>
                <c:pt idx="22">
                  <c:v>-1.2984</c:v>
                </c:pt>
              </c:numCache>
            </c:numRef>
          </c:val>
          <c:extLst>
            <c:ext xmlns:c16="http://schemas.microsoft.com/office/drawing/2014/chart" uri="{C3380CC4-5D6E-409C-BE32-E72D297353CC}">
              <c16:uniqueId val="{00000002-568E-46FD-AC8B-650197EF6542}"/>
            </c:ext>
          </c:extLst>
        </c:ser>
        <c:ser>
          <c:idx val="3"/>
          <c:order val="3"/>
          <c:tx>
            <c:strRef>
              <c:f>'Surfaces Aug 2017'!$K$4</c:f>
              <c:strCache>
                <c:ptCount val="1"/>
                <c:pt idx="0">
                  <c:v>0</c:v>
                </c:pt>
              </c:strCache>
            </c:strRef>
          </c:tx>
          <c:cat>
            <c:numRef>
              <c:f>'Surfaces Aug 2017'!$G$5:$G$27</c:f>
              <c:numCache>
                <c:formatCode>General</c:formatCode>
                <c:ptCount val="23"/>
                <c:pt idx="0">
                  <c:v>-5.57</c:v>
                </c:pt>
                <c:pt idx="1">
                  <c:v>-5</c:v>
                </c:pt>
                <c:pt idx="2">
                  <c:v>-4.5</c:v>
                </c:pt>
                <c:pt idx="3">
                  <c:v>-4</c:v>
                </c:pt>
                <c:pt idx="4">
                  <c:v>-3.5</c:v>
                </c:pt>
                <c:pt idx="5">
                  <c:v>-3</c:v>
                </c:pt>
                <c:pt idx="6">
                  <c:v>-2.5</c:v>
                </c:pt>
                <c:pt idx="7">
                  <c:v>-2</c:v>
                </c:pt>
                <c:pt idx="8">
                  <c:v>-1.5</c:v>
                </c:pt>
                <c:pt idx="9">
                  <c:v>-1</c:v>
                </c:pt>
                <c:pt idx="10">
                  <c:v>-0.5</c:v>
                </c:pt>
                <c:pt idx="11">
                  <c:v>0</c:v>
                </c:pt>
                <c:pt idx="12">
                  <c:v>0.5</c:v>
                </c:pt>
                <c:pt idx="13">
                  <c:v>1</c:v>
                </c:pt>
                <c:pt idx="14">
                  <c:v>1.5</c:v>
                </c:pt>
                <c:pt idx="15">
                  <c:v>2</c:v>
                </c:pt>
                <c:pt idx="16">
                  <c:v>2.5</c:v>
                </c:pt>
                <c:pt idx="17">
                  <c:v>3</c:v>
                </c:pt>
                <c:pt idx="18">
                  <c:v>3.5</c:v>
                </c:pt>
                <c:pt idx="19">
                  <c:v>4</c:v>
                </c:pt>
                <c:pt idx="20">
                  <c:v>4.5</c:v>
                </c:pt>
                <c:pt idx="21">
                  <c:v>5</c:v>
                </c:pt>
                <c:pt idx="22">
                  <c:v>5.48</c:v>
                </c:pt>
              </c:numCache>
            </c:numRef>
          </c:cat>
          <c:val>
            <c:numRef>
              <c:f>'Surfaces Aug 2017'!$K$5:$K$27</c:f>
              <c:numCache>
                <c:formatCode>General</c:formatCode>
                <c:ptCount val="23"/>
                <c:pt idx="0">
                  <c:v>1.4040999999999826</c:v>
                </c:pt>
                <c:pt idx="1">
                  <c:v>1.2729999999999826</c:v>
                </c:pt>
                <c:pt idx="2">
                  <c:v>1.1579999999999855</c:v>
                </c:pt>
                <c:pt idx="3">
                  <c:v>1.0429999999999835</c:v>
                </c:pt>
                <c:pt idx="4">
                  <c:v>0.92800000000000005</c:v>
                </c:pt>
                <c:pt idx="5">
                  <c:v>0.81300000000000205</c:v>
                </c:pt>
                <c:pt idx="6">
                  <c:v>0.69800000000000517</c:v>
                </c:pt>
                <c:pt idx="7">
                  <c:v>0.58300000000000207</c:v>
                </c:pt>
                <c:pt idx="8">
                  <c:v>0.46800000000000008</c:v>
                </c:pt>
                <c:pt idx="9">
                  <c:v>0.35300000000000009</c:v>
                </c:pt>
                <c:pt idx="10">
                  <c:v>0.23800000000000004</c:v>
                </c:pt>
                <c:pt idx="11">
                  <c:v>0.12300000000000003</c:v>
                </c:pt>
                <c:pt idx="12">
                  <c:v>8.0000000000000227E-3</c:v>
                </c:pt>
                <c:pt idx="13">
                  <c:v>-0.10700000000000003</c:v>
                </c:pt>
                <c:pt idx="14">
                  <c:v>-0.22200000000000003</c:v>
                </c:pt>
                <c:pt idx="15">
                  <c:v>-0.33700000000000413</c:v>
                </c:pt>
                <c:pt idx="16">
                  <c:v>-0.45200000000000001</c:v>
                </c:pt>
                <c:pt idx="17">
                  <c:v>-0.56700000000000195</c:v>
                </c:pt>
                <c:pt idx="18">
                  <c:v>-0.68200000000000427</c:v>
                </c:pt>
                <c:pt idx="19">
                  <c:v>-0.79700000000000004</c:v>
                </c:pt>
                <c:pt idx="20">
                  <c:v>-0.91200000000000003</c:v>
                </c:pt>
                <c:pt idx="21">
                  <c:v>-1.0269999999999826</c:v>
                </c:pt>
                <c:pt idx="22">
                  <c:v>-1.1374</c:v>
                </c:pt>
              </c:numCache>
            </c:numRef>
          </c:val>
          <c:extLst>
            <c:ext xmlns:c16="http://schemas.microsoft.com/office/drawing/2014/chart" uri="{C3380CC4-5D6E-409C-BE32-E72D297353CC}">
              <c16:uniqueId val="{00000003-568E-46FD-AC8B-650197EF6542}"/>
            </c:ext>
          </c:extLst>
        </c:ser>
        <c:ser>
          <c:idx val="4"/>
          <c:order val="4"/>
          <c:tx>
            <c:strRef>
              <c:f>'Surfaces Aug 2017'!$L$4</c:f>
              <c:strCache>
                <c:ptCount val="1"/>
                <c:pt idx="0">
                  <c:v>0.5</c:v>
                </c:pt>
              </c:strCache>
            </c:strRef>
          </c:tx>
          <c:cat>
            <c:numRef>
              <c:f>'Surfaces Aug 2017'!$G$5:$G$27</c:f>
              <c:numCache>
                <c:formatCode>General</c:formatCode>
                <c:ptCount val="23"/>
                <c:pt idx="0">
                  <c:v>-5.57</c:v>
                </c:pt>
                <c:pt idx="1">
                  <c:v>-5</c:v>
                </c:pt>
                <c:pt idx="2">
                  <c:v>-4.5</c:v>
                </c:pt>
                <c:pt idx="3">
                  <c:v>-4</c:v>
                </c:pt>
                <c:pt idx="4">
                  <c:v>-3.5</c:v>
                </c:pt>
                <c:pt idx="5">
                  <c:v>-3</c:v>
                </c:pt>
                <c:pt idx="6">
                  <c:v>-2.5</c:v>
                </c:pt>
                <c:pt idx="7">
                  <c:v>-2</c:v>
                </c:pt>
                <c:pt idx="8">
                  <c:v>-1.5</c:v>
                </c:pt>
                <c:pt idx="9">
                  <c:v>-1</c:v>
                </c:pt>
                <c:pt idx="10">
                  <c:v>-0.5</c:v>
                </c:pt>
                <c:pt idx="11">
                  <c:v>0</c:v>
                </c:pt>
                <c:pt idx="12">
                  <c:v>0.5</c:v>
                </c:pt>
                <c:pt idx="13">
                  <c:v>1</c:v>
                </c:pt>
                <c:pt idx="14">
                  <c:v>1.5</c:v>
                </c:pt>
                <c:pt idx="15">
                  <c:v>2</c:v>
                </c:pt>
                <c:pt idx="16">
                  <c:v>2.5</c:v>
                </c:pt>
                <c:pt idx="17">
                  <c:v>3</c:v>
                </c:pt>
                <c:pt idx="18">
                  <c:v>3.5</c:v>
                </c:pt>
                <c:pt idx="19">
                  <c:v>4</c:v>
                </c:pt>
                <c:pt idx="20">
                  <c:v>4.5</c:v>
                </c:pt>
                <c:pt idx="21">
                  <c:v>5</c:v>
                </c:pt>
                <c:pt idx="22">
                  <c:v>5.48</c:v>
                </c:pt>
              </c:numCache>
            </c:numRef>
          </c:cat>
          <c:val>
            <c:numRef>
              <c:f>'Surfaces Aug 2017'!$L$5:$L$27</c:f>
              <c:numCache>
                <c:formatCode>General</c:formatCode>
                <c:ptCount val="23"/>
                <c:pt idx="0">
                  <c:v>2.1175999999999999</c:v>
                </c:pt>
                <c:pt idx="1">
                  <c:v>1.9580000000000133</c:v>
                </c:pt>
                <c:pt idx="2">
                  <c:v>1.8180000000000001</c:v>
                </c:pt>
                <c:pt idx="3">
                  <c:v>1.6780000000000121</c:v>
                </c:pt>
                <c:pt idx="4">
                  <c:v>1.538</c:v>
                </c:pt>
                <c:pt idx="5">
                  <c:v>1.3979999999999855</c:v>
                </c:pt>
                <c:pt idx="6">
                  <c:v>1.258</c:v>
                </c:pt>
                <c:pt idx="7">
                  <c:v>1.1180000000000001</c:v>
                </c:pt>
                <c:pt idx="8">
                  <c:v>0.97800000000000309</c:v>
                </c:pt>
                <c:pt idx="9">
                  <c:v>0.83800000000000319</c:v>
                </c:pt>
                <c:pt idx="10">
                  <c:v>0.69800000000000517</c:v>
                </c:pt>
                <c:pt idx="11">
                  <c:v>0.55800000000000005</c:v>
                </c:pt>
                <c:pt idx="12">
                  <c:v>0.41800000000000009</c:v>
                </c:pt>
                <c:pt idx="13">
                  <c:v>0.27800000000000002</c:v>
                </c:pt>
                <c:pt idx="14">
                  <c:v>0.13800000000000001</c:v>
                </c:pt>
                <c:pt idx="15">
                  <c:v>-1.9999999999999701E-3</c:v>
                </c:pt>
                <c:pt idx="16">
                  <c:v>-0.14200000000000004</c:v>
                </c:pt>
                <c:pt idx="17">
                  <c:v>-0.28200000000000008</c:v>
                </c:pt>
                <c:pt idx="18">
                  <c:v>-0.42200000000000015</c:v>
                </c:pt>
                <c:pt idx="19">
                  <c:v>-0.56200000000000105</c:v>
                </c:pt>
                <c:pt idx="20">
                  <c:v>-0.70200000000000295</c:v>
                </c:pt>
                <c:pt idx="21">
                  <c:v>-0.84200000000000319</c:v>
                </c:pt>
                <c:pt idx="22">
                  <c:v>-0.97639999999999794</c:v>
                </c:pt>
              </c:numCache>
            </c:numRef>
          </c:val>
          <c:extLst>
            <c:ext xmlns:c16="http://schemas.microsoft.com/office/drawing/2014/chart" uri="{C3380CC4-5D6E-409C-BE32-E72D297353CC}">
              <c16:uniqueId val="{00000004-568E-46FD-AC8B-650197EF6542}"/>
            </c:ext>
          </c:extLst>
        </c:ser>
        <c:ser>
          <c:idx val="5"/>
          <c:order val="5"/>
          <c:tx>
            <c:strRef>
              <c:f>'Surfaces Aug 2017'!$M$4</c:f>
              <c:strCache>
                <c:ptCount val="1"/>
                <c:pt idx="0">
                  <c:v>1</c:v>
                </c:pt>
              </c:strCache>
            </c:strRef>
          </c:tx>
          <c:cat>
            <c:numRef>
              <c:f>'Surfaces Aug 2017'!$G$5:$G$27</c:f>
              <c:numCache>
                <c:formatCode>General</c:formatCode>
                <c:ptCount val="23"/>
                <c:pt idx="0">
                  <c:v>-5.57</c:v>
                </c:pt>
                <c:pt idx="1">
                  <c:v>-5</c:v>
                </c:pt>
                <c:pt idx="2">
                  <c:v>-4.5</c:v>
                </c:pt>
                <c:pt idx="3">
                  <c:v>-4</c:v>
                </c:pt>
                <c:pt idx="4">
                  <c:v>-3.5</c:v>
                </c:pt>
                <c:pt idx="5">
                  <c:v>-3</c:v>
                </c:pt>
                <c:pt idx="6">
                  <c:v>-2.5</c:v>
                </c:pt>
                <c:pt idx="7">
                  <c:v>-2</c:v>
                </c:pt>
                <c:pt idx="8">
                  <c:v>-1.5</c:v>
                </c:pt>
                <c:pt idx="9">
                  <c:v>-1</c:v>
                </c:pt>
                <c:pt idx="10">
                  <c:v>-0.5</c:v>
                </c:pt>
                <c:pt idx="11">
                  <c:v>0</c:v>
                </c:pt>
                <c:pt idx="12">
                  <c:v>0.5</c:v>
                </c:pt>
                <c:pt idx="13">
                  <c:v>1</c:v>
                </c:pt>
                <c:pt idx="14">
                  <c:v>1.5</c:v>
                </c:pt>
                <c:pt idx="15">
                  <c:v>2</c:v>
                </c:pt>
                <c:pt idx="16">
                  <c:v>2.5</c:v>
                </c:pt>
                <c:pt idx="17">
                  <c:v>3</c:v>
                </c:pt>
                <c:pt idx="18">
                  <c:v>3.5</c:v>
                </c:pt>
                <c:pt idx="19">
                  <c:v>4</c:v>
                </c:pt>
                <c:pt idx="20">
                  <c:v>4.5</c:v>
                </c:pt>
                <c:pt idx="21">
                  <c:v>5</c:v>
                </c:pt>
                <c:pt idx="22">
                  <c:v>5.48</c:v>
                </c:pt>
              </c:numCache>
            </c:numRef>
          </c:cat>
          <c:val>
            <c:numRef>
              <c:f>'Surfaces Aug 2017'!$M$5:$M$27</c:f>
              <c:numCache>
                <c:formatCode>General</c:formatCode>
                <c:ptCount val="23"/>
                <c:pt idx="0">
                  <c:v>2.8310999999999567</c:v>
                </c:pt>
                <c:pt idx="1">
                  <c:v>2.6429999999999998</c:v>
                </c:pt>
                <c:pt idx="2">
                  <c:v>2.4779999999999998</c:v>
                </c:pt>
                <c:pt idx="3">
                  <c:v>2.3129999999999562</c:v>
                </c:pt>
                <c:pt idx="4">
                  <c:v>2.1480000000000001</c:v>
                </c:pt>
                <c:pt idx="5">
                  <c:v>1.9829999999999968</c:v>
                </c:pt>
                <c:pt idx="6">
                  <c:v>1.8180000000000001</c:v>
                </c:pt>
                <c:pt idx="7">
                  <c:v>1.653</c:v>
                </c:pt>
                <c:pt idx="8">
                  <c:v>1.488</c:v>
                </c:pt>
                <c:pt idx="9">
                  <c:v>1.323</c:v>
                </c:pt>
                <c:pt idx="10">
                  <c:v>1.1579999999999855</c:v>
                </c:pt>
                <c:pt idx="11">
                  <c:v>0.99299999999999999</c:v>
                </c:pt>
                <c:pt idx="12">
                  <c:v>0.82800000000000318</c:v>
                </c:pt>
                <c:pt idx="13">
                  <c:v>0.66300000000001025</c:v>
                </c:pt>
                <c:pt idx="14">
                  <c:v>0.49800000000000311</c:v>
                </c:pt>
                <c:pt idx="15">
                  <c:v>0.33300000000000413</c:v>
                </c:pt>
                <c:pt idx="16">
                  <c:v>0.16800000000000004</c:v>
                </c:pt>
                <c:pt idx="17">
                  <c:v>2.999999999999889E-3</c:v>
                </c:pt>
                <c:pt idx="18">
                  <c:v>-0.16200000000000003</c:v>
                </c:pt>
                <c:pt idx="19">
                  <c:v>-0.32700000000000412</c:v>
                </c:pt>
                <c:pt idx="20">
                  <c:v>-0.49200000000000016</c:v>
                </c:pt>
                <c:pt idx="21">
                  <c:v>-0.65700000000001024</c:v>
                </c:pt>
                <c:pt idx="22">
                  <c:v>-0.81540000000000001</c:v>
                </c:pt>
              </c:numCache>
            </c:numRef>
          </c:val>
          <c:extLst>
            <c:ext xmlns:c16="http://schemas.microsoft.com/office/drawing/2014/chart" uri="{C3380CC4-5D6E-409C-BE32-E72D297353CC}">
              <c16:uniqueId val="{00000005-568E-46FD-AC8B-650197EF6542}"/>
            </c:ext>
          </c:extLst>
        </c:ser>
        <c:ser>
          <c:idx val="6"/>
          <c:order val="6"/>
          <c:tx>
            <c:strRef>
              <c:f>'Surfaces Aug 2017'!$N$4</c:f>
              <c:strCache>
                <c:ptCount val="1"/>
                <c:pt idx="0">
                  <c:v>1.5</c:v>
                </c:pt>
              </c:strCache>
            </c:strRef>
          </c:tx>
          <c:cat>
            <c:numRef>
              <c:f>'Surfaces Aug 2017'!$G$5:$G$27</c:f>
              <c:numCache>
                <c:formatCode>General</c:formatCode>
                <c:ptCount val="23"/>
                <c:pt idx="0">
                  <c:v>-5.57</c:v>
                </c:pt>
                <c:pt idx="1">
                  <c:v>-5</c:v>
                </c:pt>
                <c:pt idx="2">
                  <c:v>-4.5</c:v>
                </c:pt>
                <c:pt idx="3">
                  <c:v>-4</c:v>
                </c:pt>
                <c:pt idx="4">
                  <c:v>-3.5</c:v>
                </c:pt>
                <c:pt idx="5">
                  <c:v>-3</c:v>
                </c:pt>
                <c:pt idx="6">
                  <c:v>-2.5</c:v>
                </c:pt>
                <c:pt idx="7">
                  <c:v>-2</c:v>
                </c:pt>
                <c:pt idx="8">
                  <c:v>-1.5</c:v>
                </c:pt>
                <c:pt idx="9">
                  <c:v>-1</c:v>
                </c:pt>
                <c:pt idx="10">
                  <c:v>-0.5</c:v>
                </c:pt>
                <c:pt idx="11">
                  <c:v>0</c:v>
                </c:pt>
                <c:pt idx="12">
                  <c:v>0.5</c:v>
                </c:pt>
                <c:pt idx="13">
                  <c:v>1</c:v>
                </c:pt>
                <c:pt idx="14">
                  <c:v>1.5</c:v>
                </c:pt>
                <c:pt idx="15">
                  <c:v>2</c:v>
                </c:pt>
                <c:pt idx="16">
                  <c:v>2.5</c:v>
                </c:pt>
                <c:pt idx="17">
                  <c:v>3</c:v>
                </c:pt>
                <c:pt idx="18">
                  <c:v>3.5</c:v>
                </c:pt>
                <c:pt idx="19">
                  <c:v>4</c:v>
                </c:pt>
                <c:pt idx="20">
                  <c:v>4.5</c:v>
                </c:pt>
                <c:pt idx="21">
                  <c:v>5</c:v>
                </c:pt>
                <c:pt idx="22">
                  <c:v>5.48</c:v>
                </c:pt>
              </c:numCache>
            </c:numRef>
          </c:cat>
          <c:val>
            <c:numRef>
              <c:f>'Surfaces Aug 2017'!$N$5:$N$27</c:f>
              <c:numCache>
                <c:formatCode>General</c:formatCode>
                <c:ptCount val="23"/>
                <c:pt idx="0">
                  <c:v>3.5446</c:v>
                </c:pt>
                <c:pt idx="1">
                  <c:v>3.3279999999999998</c:v>
                </c:pt>
                <c:pt idx="2">
                  <c:v>3.1379999999999999</c:v>
                </c:pt>
                <c:pt idx="3">
                  <c:v>2.948</c:v>
                </c:pt>
                <c:pt idx="4">
                  <c:v>2.758</c:v>
                </c:pt>
                <c:pt idx="5">
                  <c:v>2.5680000000000001</c:v>
                </c:pt>
                <c:pt idx="6">
                  <c:v>2.3779999999999997</c:v>
                </c:pt>
                <c:pt idx="7">
                  <c:v>2.1880000000000002</c:v>
                </c:pt>
                <c:pt idx="8">
                  <c:v>1.9980000000000142</c:v>
                </c:pt>
                <c:pt idx="9">
                  <c:v>1.8079999999999763</c:v>
                </c:pt>
                <c:pt idx="10">
                  <c:v>1.6179999999999815</c:v>
                </c:pt>
                <c:pt idx="11">
                  <c:v>1.4279999999999662</c:v>
                </c:pt>
                <c:pt idx="12">
                  <c:v>1.238</c:v>
                </c:pt>
                <c:pt idx="13">
                  <c:v>1.048</c:v>
                </c:pt>
                <c:pt idx="14">
                  <c:v>0.85800000000000221</c:v>
                </c:pt>
                <c:pt idx="15">
                  <c:v>0.66800000000001125</c:v>
                </c:pt>
                <c:pt idx="16">
                  <c:v>0.47800000000000009</c:v>
                </c:pt>
                <c:pt idx="17">
                  <c:v>0.28800000000000009</c:v>
                </c:pt>
                <c:pt idx="18">
                  <c:v>9.8000000000000725E-2</c:v>
                </c:pt>
                <c:pt idx="19">
                  <c:v>-9.2000000000000193E-2</c:v>
                </c:pt>
                <c:pt idx="20">
                  <c:v>-0.28200000000000008</c:v>
                </c:pt>
                <c:pt idx="21">
                  <c:v>-0.47200000000000009</c:v>
                </c:pt>
                <c:pt idx="22">
                  <c:v>-0.6544000000000032</c:v>
                </c:pt>
              </c:numCache>
            </c:numRef>
          </c:val>
          <c:extLst>
            <c:ext xmlns:c16="http://schemas.microsoft.com/office/drawing/2014/chart" uri="{C3380CC4-5D6E-409C-BE32-E72D297353CC}">
              <c16:uniqueId val="{00000006-568E-46FD-AC8B-650197EF6542}"/>
            </c:ext>
          </c:extLst>
        </c:ser>
        <c:ser>
          <c:idx val="7"/>
          <c:order val="7"/>
          <c:tx>
            <c:strRef>
              <c:f>'Surfaces Aug 2017'!$O$4</c:f>
              <c:strCache>
                <c:ptCount val="1"/>
                <c:pt idx="0">
                  <c:v>2</c:v>
                </c:pt>
              </c:strCache>
            </c:strRef>
          </c:tx>
          <c:cat>
            <c:numRef>
              <c:f>'Surfaces Aug 2017'!$G$5:$G$27</c:f>
              <c:numCache>
                <c:formatCode>General</c:formatCode>
                <c:ptCount val="23"/>
                <c:pt idx="0">
                  <c:v>-5.57</c:v>
                </c:pt>
                <c:pt idx="1">
                  <c:v>-5</c:v>
                </c:pt>
                <c:pt idx="2">
                  <c:v>-4.5</c:v>
                </c:pt>
                <c:pt idx="3">
                  <c:v>-4</c:v>
                </c:pt>
                <c:pt idx="4">
                  <c:v>-3.5</c:v>
                </c:pt>
                <c:pt idx="5">
                  <c:v>-3</c:v>
                </c:pt>
                <c:pt idx="6">
                  <c:v>-2.5</c:v>
                </c:pt>
                <c:pt idx="7">
                  <c:v>-2</c:v>
                </c:pt>
                <c:pt idx="8">
                  <c:v>-1.5</c:v>
                </c:pt>
                <c:pt idx="9">
                  <c:v>-1</c:v>
                </c:pt>
                <c:pt idx="10">
                  <c:v>-0.5</c:v>
                </c:pt>
                <c:pt idx="11">
                  <c:v>0</c:v>
                </c:pt>
                <c:pt idx="12">
                  <c:v>0.5</c:v>
                </c:pt>
                <c:pt idx="13">
                  <c:v>1</c:v>
                </c:pt>
                <c:pt idx="14">
                  <c:v>1.5</c:v>
                </c:pt>
                <c:pt idx="15">
                  <c:v>2</c:v>
                </c:pt>
                <c:pt idx="16">
                  <c:v>2.5</c:v>
                </c:pt>
                <c:pt idx="17">
                  <c:v>3</c:v>
                </c:pt>
                <c:pt idx="18">
                  <c:v>3.5</c:v>
                </c:pt>
                <c:pt idx="19">
                  <c:v>4</c:v>
                </c:pt>
                <c:pt idx="20">
                  <c:v>4.5</c:v>
                </c:pt>
                <c:pt idx="21">
                  <c:v>5</c:v>
                </c:pt>
                <c:pt idx="22">
                  <c:v>5.48</c:v>
                </c:pt>
              </c:numCache>
            </c:numRef>
          </c:cat>
          <c:val>
            <c:numRef>
              <c:f>'Surfaces Aug 2017'!$O$5:$O$27</c:f>
              <c:numCache>
                <c:formatCode>General</c:formatCode>
                <c:ptCount val="23"/>
                <c:pt idx="0">
                  <c:v>4.2580999999999998</c:v>
                </c:pt>
                <c:pt idx="1">
                  <c:v>4.0129999999999946</c:v>
                </c:pt>
                <c:pt idx="2">
                  <c:v>3.798</c:v>
                </c:pt>
                <c:pt idx="3">
                  <c:v>3.5830000000000002</c:v>
                </c:pt>
                <c:pt idx="4">
                  <c:v>3.3679999999999999</c:v>
                </c:pt>
                <c:pt idx="5">
                  <c:v>3.153</c:v>
                </c:pt>
                <c:pt idx="6">
                  <c:v>2.9379999999999997</c:v>
                </c:pt>
                <c:pt idx="7">
                  <c:v>2.7230000000000012</c:v>
                </c:pt>
                <c:pt idx="8">
                  <c:v>2.508</c:v>
                </c:pt>
                <c:pt idx="9">
                  <c:v>2.2930000000000001</c:v>
                </c:pt>
                <c:pt idx="10">
                  <c:v>2.0779999999999998</c:v>
                </c:pt>
                <c:pt idx="11">
                  <c:v>1.863</c:v>
                </c:pt>
                <c:pt idx="12">
                  <c:v>1.6479999999999815</c:v>
                </c:pt>
                <c:pt idx="13">
                  <c:v>1.4329999999999763</c:v>
                </c:pt>
                <c:pt idx="14">
                  <c:v>1.218</c:v>
                </c:pt>
                <c:pt idx="15">
                  <c:v>1.0029999999999826</c:v>
                </c:pt>
                <c:pt idx="16">
                  <c:v>0.78800000000000003</c:v>
                </c:pt>
                <c:pt idx="17">
                  <c:v>0.57300000000000295</c:v>
                </c:pt>
                <c:pt idx="18">
                  <c:v>0.3580000000000001</c:v>
                </c:pt>
                <c:pt idx="19">
                  <c:v>0.14300000000000004</c:v>
                </c:pt>
                <c:pt idx="20">
                  <c:v>-7.2000000000000647E-2</c:v>
                </c:pt>
                <c:pt idx="21">
                  <c:v>-0.28700000000000009</c:v>
                </c:pt>
                <c:pt idx="22">
                  <c:v>-0.49340000000000511</c:v>
                </c:pt>
              </c:numCache>
            </c:numRef>
          </c:val>
          <c:extLst>
            <c:ext xmlns:c16="http://schemas.microsoft.com/office/drawing/2014/chart" uri="{C3380CC4-5D6E-409C-BE32-E72D297353CC}">
              <c16:uniqueId val="{00000007-568E-46FD-AC8B-650197EF6542}"/>
            </c:ext>
          </c:extLst>
        </c:ser>
        <c:ser>
          <c:idx val="8"/>
          <c:order val="8"/>
          <c:tx>
            <c:strRef>
              <c:f>'Surfaces Aug 2017'!$P$4</c:f>
              <c:strCache>
                <c:ptCount val="1"/>
                <c:pt idx="0">
                  <c:v>2.5</c:v>
                </c:pt>
              </c:strCache>
            </c:strRef>
          </c:tx>
          <c:cat>
            <c:numRef>
              <c:f>'Surfaces Aug 2017'!$G$5:$G$27</c:f>
              <c:numCache>
                <c:formatCode>General</c:formatCode>
                <c:ptCount val="23"/>
                <c:pt idx="0">
                  <c:v>-5.57</c:v>
                </c:pt>
                <c:pt idx="1">
                  <c:v>-5</c:v>
                </c:pt>
                <c:pt idx="2">
                  <c:v>-4.5</c:v>
                </c:pt>
                <c:pt idx="3">
                  <c:v>-4</c:v>
                </c:pt>
                <c:pt idx="4">
                  <c:v>-3.5</c:v>
                </c:pt>
                <c:pt idx="5">
                  <c:v>-3</c:v>
                </c:pt>
                <c:pt idx="6">
                  <c:v>-2.5</c:v>
                </c:pt>
                <c:pt idx="7">
                  <c:v>-2</c:v>
                </c:pt>
                <c:pt idx="8">
                  <c:v>-1.5</c:v>
                </c:pt>
                <c:pt idx="9">
                  <c:v>-1</c:v>
                </c:pt>
                <c:pt idx="10">
                  <c:v>-0.5</c:v>
                </c:pt>
                <c:pt idx="11">
                  <c:v>0</c:v>
                </c:pt>
                <c:pt idx="12">
                  <c:v>0.5</c:v>
                </c:pt>
                <c:pt idx="13">
                  <c:v>1</c:v>
                </c:pt>
                <c:pt idx="14">
                  <c:v>1.5</c:v>
                </c:pt>
                <c:pt idx="15">
                  <c:v>2</c:v>
                </c:pt>
                <c:pt idx="16">
                  <c:v>2.5</c:v>
                </c:pt>
                <c:pt idx="17">
                  <c:v>3</c:v>
                </c:pt>
                <c:pt idx="18">
                  <c:v>3.5</c:v>
                </c:pt>
                <c:pt idx="19">
                  <c:v>4</c:v>
                </c:pt>
                <c:pt idx="20">
                  <c:v>4.5</c:v>
                </c:pt>
                <c:pt idx="21">
                  <c:v>5</c:v>
                </c:pt>
                <c:pt idx="22">
                  <c:v>5.48</c:v>
                </c:pt>
              </c:numCache>
            </c:numRef>
          </c:cat>
          <c:val>
            <c:numRef>
              <c:f>'Surfaces Aug 2017'!$P$5:$P$27</c:f>
              <c:numCache>
                <c:formatCode>General</c:formatCode>
                <c:ptCount val="23"/>
                <c:pt idx="0">
                  <c:v>4.9716000000001026</c:v>
                </c:pt>
                <c:pt idx="1">
                  <c:v>4.6979999999999746</c:v>
                </c:pt>
                <c:pt idx="2">
                  <c:v>4.4580000000000002</c:v>
                </c:pt>
                <c:pt idx="3">
                  <c:v>4.218</c:v>
                </c:pt>
                <c:pt idx="4">
                  <c:v>3.9779999999999998</c:v>
                </c:pt>
                <c:pt idx="5">
                  <c:v>3.738</c:v>
                </c:pt>
                <c:pt idx="6">
                  <c:v>3.4979999999999998</c:v>
                </c:pt>
                <c:pt idx="7">
                  <c:v>3.258</c:v>
                </c:pt>
                <c:pt idx="8">
                  <c:v>3.0179999999999998</c:v>
                </c:pt>
                <c:pt idx="9">
                  <c:v>2.778</c:v>
                </c:pt>
                <c:pt idx="10">
                  <c:v>2.5379999999999998</c:v>
                </c:pt>
                <c:pt idx="11">
                  <c:v>2.298</c:v>
                </c:pt>
                <c:pt idx="12">
                  <c:v>2.0579999999999998</c:v>
                </c:pt>
                <c:pt idx="13">
                  <c:v>1.8180000000000001</c:v>
                </c:pt>
                <c:pt idx="14">
                  <c:v>1.5780000000000001</c:v>
                </c:pt>
                <c:pt idx="15">
                  <c:v>1.3380000000000001</c:v>
                </c:pt>
                <c:pt idx="16">
                  <c:v>1.0979999999999785</c:v>
                </c:pt>
                <c:pt idx="17">
                  <c:v>0.8580000000000032</c:v>
                </c:pt>
                <c:pt idx="18">
                  <c:v>0.61800000000000621</c:v>
                </c:pt>
                <c:pt idx="19">
                  <c:v>0.37800000000000311</c:v>
                </c:pt>
                <c:pt idx="20">
                  <c:v>0.13800000000000001</c:v>
                </c:pt>
                <c:pt idx="21">
                  <c:v>-0.10199999999999998</c:v>
                </c:pt>
                <c:pt idx="22">
                  <c:v>-0.33240000000000514</c:v>
                </c:pt>
              </c:numCache>
            </c:numRef>
          </c:val>
          <c:extLst>
            <c:ext xmlns:c16="http://schemas.microsoft.com/office/drawing/2014/chart" uri="{C3380CC4-5D6E-409C-BE32-E72D297353CC}">
              <c16:uniqueId val="{00000008-568E-46FD-AC8B-650197EF6542}"/>
            </c:ext>
          </c:extLst>
        </c:ser>
        <c:ser>
          <c:idx val="9"/>
          <c:order val="9"/>
          <c:tx>
            <c:strRef>
              <c:f>'Surfaces Aug 2017'!$Q$4</c:f>
              <c:strCache>
                <c:ptCount val="1"/>
                <c:pt idx="0">
                  <c:v>3</c:v>
                </c:pt>
              </c:strCache>
            </c:strRef>
          </c:tx>
          <c:cat>
            <c:numRef>
              <c:f>'Surfaces Aug 2017'!$G$5:$G$27</c:f>
              <c:numCache>
                <c:formatCode>General</c:formatCode>
                <c:ptCount val="23"/>
                <c:pt idx="0">
                  <c:v>-5.57</c:v>
                </c:pt>
                <c:pt idx="1">
                  <c:v>-5</c:v>
                </c:pt>
                <c:pt idx="2">
                  <c:v>-4.5</c:v>
                </c:pt>
                <c:pt idx="3">
                  <c:v>-4</c:v>
                </c:pt>
                <c:pt idx="4">
                  <c:v>-3.5</c:v>
                </c:pt>
                <c:pt idx="5">
                  <c:v>-3</c:v>
                </c:pt>
                <c:pt idx="6">
                  <c:v>-2.5</c:v>
                </c:pt>
                <c:pt idx="7">
                  <c:v>-2</c:v>
                </c:pt>
                <c:pt idx="8">
                  <c:v>-1.5</c:v>
                </c:pt>
                <c:pt idx="9">
                  <c:v>-1</c:v>
                </c:pt>
                <c:pt idx="10">
                  <c:v>-0.5</c:v>
                </c:pt>
                <c:pt idx="11">
                  <c:v>0</c:v>
                </c:pt>
                <c:pt idx="12">
                  <c:v>0.5</c:v>
                </c:pt>
                <c:pt idx="13">
                  <c:v>1</c:v>
                </c:pt>
                <c:pt idx="14">
                  <c:v>1.5</c:v>
                </c:pt>
                <c:pt idx="15">
                  <c:v>2</c:v>
                </c:pt>
                <c:pt idx="16">
                  <c:v>2.5</c:v>
                </c:pt>
                <c:pt idx="17">
                  <c:v>3</c:v>
                </c:pt>
                <c:pt idx="18">
                  <c:v>3.5</c:v>
                </c:pt>
                <c:pt idx="19">
                  <c:v>4</c:v>
                </c:pt>
                <c:pt idx="20">
                  <c:v>4.5</c:v>
                </c:pt>
                <c:pt idx="21">
                  <c:v>5</c:v>
                </c:pt>
                <c:pt idx="22">
                  <c:v>5.48</c:v>
                </c:pt>
              </c:numCache>
            </c:numRef>
          </c:cat>
          <c:val>
            <c:numRef>
              <c:f>'Surfaces Aug 2017'!$Q$5:$Q$27</c:f>
              <c:numCache>
                <c:formatCode>General</c:formatCode>
                <c:ptCount val="23"/>
                <c:pt idx="0">
                  <c:v>5.6850999999999967</c:v>
                </c:pt>
                <c:pt idx="1">
                  <c:v>5.383</c:v>
                </c:pt>
                <c:pt idx="2">
                  <c:v>5.1179999999999746</c:v>
                </c:pt>
                <c:pt idx="3">
                  <c:v>4.8529999999999847</c:v>
                </c:pt>
                <c:pt idx="4">
                  <c:v>4.5880000000000001</c:v>
                </c:pt>
                <c:pt idx="5">
                  <c:v>4.3229999999999746</c:v>
                </c:pt>
                <c:pt idx="6">
                  <c:v>4.0579999999999856</c:v>
                </c:pt>
                <c:pt idx="7">
                  <c:v>3.7930000000000001</c:v>
                </c:pt>
                <c:pt idx="8">
                  <c:v>3.528</c:v>
                </c:pt>
                <c:pt idx="9">
                  <c:v>3.2630000000000012</c:v>
                </c:pt>
                <c:pt idx="10">
                  <c:v>2.9979999999999998</c:v>
                </c:pt>
                <c:pt idx="11">
                  <c:v>2.7330000000000001</c:v>
                </c:pt>
                <c:pt idx="12">
                  <c:v>2.468</c:v>
                </c:pt>
                <c:pt idx="13">
                  <c:v>2.202999999999999</c:v>
                </c:pt>
                <c:pt idx="14">
                  <c:v>1.9379999999999764</c:v>
                </c:pt>
                <c:pt idx="15">
                  <c:v>1.673</c:v>
                </c:pt>
                <c:pt idx="16">
                  <c:v>1.4079999999999662</c:v>
                </c:pt>
                <c:pt idx="17">
                  <c:v>1.143</c:v>
                </c:pt>
                <c:pt idx="18">
                  <c:v>0.87800000000000822</c:v>
                </c:pt>
                <c:pt idx="19">
                  <c:v>0.61300000000000321</c:v>
                </c:pt>
                <c:pt idx="20">
                  <c:v>0.34800000000000109</c:v>
                </c:pt>
                <c:pt idx="21">
                  <c:v>8.3000000000000254E-2</c:v>
                </c:pt>
                <c:pt idx="22">
                  <c:v>-0.17140000000000105</c:v>
                </c:pt>
              </c:numCache>
            </c:numRef>
          </c:val>
          <c:extLst>
            <c:ext xmlns:c16="http://schemas.microsoft.com/office/drawing/2014/chart" uri="{C3380CC4-5D6E-409C-BE32-E72D297353CC}">
              <c16:uniqueId val="{00000009-568E-46FD-AC8B-650197EF6542}"/>
            </c:ext>
          </c:extLst>
        </c:ser>
        <c:bandFmts>
          <c:bandFmt>
            <c:idx val="0"/>
          </c:bandFmt>
          <c:bandFmt>
            <c:idx val="1"/>
          </c:bandFmt>
          <c:bandFmt>
            <c:idx val="2"/>
          </c:bandFmt>
          <c:bandFmt>
            <c:idx val="3"/>
          </c:bandFmt>
          <c:bandFmt>
            <c:idx val="4"/>
          </c:bandFmt>
          <c:bandFmt>
            <c:idx val="5"/>
          </c:bandFmt>
          <c:bandFmt>
            <c:idx val="6"/>
          </c:bandFmt>
          <c:bandFmt>
            <c:idx val="7"/>
          </c:bandFmt>
        </c:bandFmts>
        <c:axId val="43986304"/>
        <c:axId val="43992576"/>
        <c:axId val="43775296"/>
      </c:surface3DChart>
      <c:catAx>
        <c:axId val="43986304"/>
        <c:scaling>
          <c:orientation val="minMax"/>
        </c:scaling>
        <c:delete val="0"/>
        <c:axPos val="b"/>
        <c:title>
          <c:tx>
            <c:rich>
              <a:bodyPr rot="300000"/>
              <a:lstStyle/>
              <a:p>
                <a:pPr>
                  <a:defRPr sz="900">
                    <a:latin typeface="Times New Roman" pitchFamily="18" charset="0"/>
                    <a:cs typeface="Times New Roman" pitchFamily="18" charset="0"/>
                  </a:defRPr>
                </a:pPr>
                <a:r>
                  <a:rPr lang="en-US" sz="900">
                    <a:latin typeface="Times New Roman" pitchFamily="18" charset="0"/>
                    <a:cs typeface="Times New Roman" pitchFamily="18" charset="0"/>
                  </a:rPr>
                  <a:t>Initial Reseller </a:t>
                </a:r>
                <a:r>
                  <a:rPr lang="en-US" sz="900" b="1" i="0" u="none" strike="noStrike" kern="1200" baseline="0">
                    <a:solidFill>
                      <a:sysClr val="windowText" lastClr="000000"/>
                    </a:solidFill>
                    <a:latin typeface="Times New Roman" pitchFamily="18" charset="0"/>
                    <a:ea typeface="+mn-ea"/>
                    <a:cs typeface="Times New Roman" pitchFamily="18" charset="0"/>
                  </a:rPr>
                  <a:t>Selection Efforts</a:t>
                </a:r>
                <a:r>
                  <a:rPr lang="en-US" sz="900">
                    <a:latin typeface="Times New Roman" pitchFamily="18" charset="0"/>
                    <a:cs typeface="Times New Roman" pitchFamily="18" charset="0"/>
                  </a:rPr>
                  <a:t>,</a:t>
                </a:r>
                <a:r>
                  <a:rPr lang="en-US" sz="900" baseline="0">
                    <a:latin typeface="Times New Roman" pitchFamily="18" charset="0"/>
                    <a:cs typeface="Times New Roman" pitchFamily="18" charset="0"/>
                  </a:rPr>
                  <a:t> SSELT1</a:t>
                </a:r>
                <a:endParaRPr lang="en-US" sz="900">
                  <a:latin typeface="Times New Roman" pitchFamily="18" charset="0"/>
                  <a:cs typeface="Times New Roman" pitchFamily="18" charset="0"/>
                </a:endParaRPr>
              </a:p>
            </c:rich>
          </c:tx>
          <c:layout>
            <c:manualLayout>
              <c:xMode val="edge"/>
              <c:yMode val="edge"/>
              <c:x val="9.367891513560847E-2"/>
              <c:y val="0.75099195407094221"/>
            </c:manualLayout>
          </c:layout>
          <c:overlay val="0"/>
        </c:title>
        <c:numFmt formatCode="#,##0.00" sourceLinked="0"/>
        <c:majorTickMark val="in"/>
        <c:minorTickMark val="none"/>
        <c:tickLblPos val="low"/>
        <c:txPr>
          <a:bodyPr/>
          <a:lstStyle/>
          <a:p>
            <a:pPr>
              <a:defRPr sz="800">
                <a:latin typeface="Times New Roman" pitchFamily="18" charset="0"/>
                <a:cs typeface="Times New Roman" pitchFamily="18" charset="0"/>
              </a:defRPr>
            </a:pPr>
            <a:endParaRPr lang="nb-NO"/>
          </a:p>
        </c:txPr>
        <c:crossAx val="43992576"/>
        <c:crosses val="autoZero"/>
        <c:auto val="1"/>
        <c:lblAlgn val="ctr"/>
        <c:lblOffset val="100"/>
        <c:tickLblSkip val="3"/>
        <c:tickMarkSkip val="3"/>
        <c:noMultiLvlLbl val="0"/>
      </c:catAx>
      <c:valAx>
        <c:axId val="43992576"/>
        <c:scaling>
          <c:orientation val="minMax"/>
        </c:scaling>
        <c:delete val="0"/>
        <c:axPos val="l"/>
        <c:majorGridlines>
          <c:spPr>
            <a:ln w="9525"/>
          </c:spPr>
        </c:majorGridlines>
        <c:title>
          <c:tx>
            <c:rich>
              <a:bodyPr/>
              <a:lstStyle/>
              <a:p>
                <a:pPr>
                  <a:defRPr sz="900">
                    <a:latin typeface="Times New Roman" pitchFamily="18" charset="0"/>
                    <a:cs typeface="Times New Roman" pitchFamily="18" charset="0"/>
                  </a:defRPr>
                </a:pPr>
                <a:r>
                  <a:rPr lang="en-US" sz="900" baseline="0">
                    <a:latin typeface="Times New Roman" pitchFamily="18" charset="0"/>
                    <a:cs typeface="Times New Roman" pitchFamily="18" charset="0"/>
                  </a:rPr>
                  <a:t>  Ex Post </a:t>
                </a:r>
                <a:r>
                  <a:rPr lang="en-US" sz="900">
                    <a:latin typeface="Times New Roman" pitchFamily="18" charset="0"/>
                    <a:cs typeface="Times New Roman" pitchFamily="18" charset="0"/>
                  </a:rPr>
                  <a:t>Transaction Cost  </a:t>
                </a:r>
              </a:p>
            </c:rich>
          </c:tx>
          <c:layout>
            <c:manualLayout>
              <c:xMode val="edge"/>
              <c:yMode val="edge"/>
              <c:x val="4.7234813025324313E-3"/>
              <c:y val="0.29933142366002302"/>
            </c:manualLayout>
          </c:layout>
          <c:overlay val="0"/>
        </c:title>
        <c:numFmt formatCode="General" sourceLinked="1"/>
        <c:majorTickMark val="none"/>
        <c:minorTickMark val="none"/>
        <c:tickLblPos val="nextTo"/>
        <c:txPr>
          <a:bodyPr rot="-420000"/>
          <a:lstStyle/>
          <a:p>
            <a:pPr>
              <a:defRPr sz="800" b="0">
                <a:latin typeface="Times New Roman" pitchFamily="18" charset="0"/>
                <a:cs typeface="Times New Roman" pitchFamily="18" charset="0"/>
              </a:defRPr>
            </a:pPr>
            <a:endParaRPr lang="nb-NO"/>
          </a:p>
        </c:txPr>
        <c:crossAx val="43986304"/>
        <c:crosses val="autoZero"/>
        <c:crossBetween val="midCat"/>
      </c:valAx>
      <c:serAx>
        <c:axId val="43775296"/>
        <c:scaling>
          <c:orientation val="minMax"/>
        </c:scaling>
        <c:delete val="0"/>
        <c:axPos val="b"/>
        <c:title>
          <c:tx>
            <c:rich>
              <a:bodyPr rot="-3540000" vert="horz"/>
              <a:lstStyle/>
              <a:p>
                <a:pPr>
                  <a:defRPr sz="900">
                    <a:latin typeface="Times New Roman" pitchFamily="18" charset="0"/>
                    <a:cs typeface="Times New Roman" pitchFamily="18" charset="0"/>
                  </a:defRPr>
                </a:pPr>
                <a:r>
                  <a:rPr lang="en-US" sz="900">
                    <a:latin typeface="Times New Roman" pitchFamily="18" charset="0"/>
                    <a:cs typeface="Times New Roman" pitchFamily="18" charset="0"/>
                  </a:rPr>
                  <a:t>Supplier</a:t>
                </a:r>
                <a:r>
                  <a:rPr lang="en-US" sz="900" baseline="0">
                    <a:latin typeface="Times New Roman" pitchFamily="18" charset="0"/>
                    <a:cs typeface="Times New Roman" pitchFamily="18" charset="0"/>
                  </a:rPr>
                  <a:t> Incremental Investments, </a:t>
                </a:r>
                <a:r>
                  <a:rPr lang="en-US" sz="900" b="1" i="0" u="none" strike="noStrike" kern="1200" baseline="0">
                    <a:solidFill>
                      <a:sysClr val="windowText" lastClr="000000"/>
                    </a:solidFill>
                    <a:latin typeface="Times New Roman" pitchFamily="18" charset="0"/>
                    <a:ea typeface="+mn-ea"/>
                    <a:cs typeface="Times New Roman" pitchFamily="18" charset="0"/>
                  </a:rPr>
                  <a:t>SINVT2</a:t>
                </a:r>
                <a:endParaRPr lang="en-US" sz="900">
                  <a:latin typeface="Times New Roman" pitchFamily="18" charset="0"/>
                  <a:cs typeface="Times New Roman" pitchFamily="18" charset="0"/>
                </a:endParaRPr>
              </a:p>
            </c:rich>
          </c:tx>
          <c:layout>
            <c:manualLayout>
              <c:xMode val="edge"/>
              <c:yMode val="edge"/>
              <c:x val="0.75772417440357864"/>
              <c:y val="0.47610452221331301"/>
            </c:manualLayout>
          </c:layout>
          <c:overlay val="0"/>
          <c:spPr>
            <a:scene3d>
              <a:camera prst="orthographicFront"/>
              <a:lightRig rig="threePt" dir="t"/>
            </a:scene3d>
            <a:sp3d>
              <a:bevelT w="6350"/>
            </a:sp3d>
          </c:spPr>
        </c:title>
        <c:numFmt formatCode="General" sourceLinked="1"/>
        <c:majorTickMark val="in"/>
        <c:minorTickMark val="none"/>
        <c:tickLblPos val="low"/>
        <c:spPr>
          <a:ln w="3175">
            <a:solidFill>
              <a:srgbClr val="808080"/>
            </a:solidFill>
            <a:prstDash val="solid"/>
          </a:ln>
        </c:spPr>
        <c:txPr>
          <a:bodyPr rot="0" vert="horz"/>
          <a:lstStyle/>
          <a:p>
            <a:pPr>
              <a:defRPr sz="800" b="0" i="0" u="none" strike="noStrike" baseline="0">
                <a:solidFill>
                  <a:srgbClr val="000000"/>
                </a:solidFill>
                <a:latin typeface="Times New Roman" pitchFamily="18" charset="0"/>
                <a:ea typeface="Calibri"/>
                <a:cs typeface="Times New Roman" pitchFamily="18" charset="0"/>
              </a:defRPr>
            </a:pPr>
            <a:endParaRPr lang="nb-NO"/>
          </a:p>
        </c:txPr>
        <c:crossAx val="43992576"/>
        <c:crosses val="autoZero"/>
        <c:tickLblSkip val="2"/>
        <c:tickMarkSkip val="2"/>
      </c:serAx>
      <c:spPr>
        <a:noFill/>
        <a:ln w="25400">
          <a:noFill/>
        </a:ln>
      </c:spPr>
    </c:plotArea>
    <c:legend>
      <c:legendPos val="b"/>
      <c:legendEntry>
        <c:idx val="0"/>
        <c:txPr>
          <a:bodyPr/>
          <a:lstStyle/>
          <a:p>
            <a:pPr rtl="0">
              <a:defRPr sz="700">
                <a:latin typeface="Times New Roman" pitchFamily="18" charset="0"/>
                <a:cs typeface="Times New Roman" pitchFamily="18" charset="0"/>
              </a:defRPr>
            </a:pPr>
            <a:endParaRPr lang="nb-NO"/>
          </a:p>
        </c:txPr>
      </c:legendEntry>
      <c:legendEntry>
        <c:idx val="1"/>
        <c:txPr>
          <a:bodyPr/>
          <a:lstStyle/>
          <a:p>
            <a:pPr rtl="0">
              <a:defRPr sz="700">
                <a:latin typeface="Times New Roman" pitchFamily="18" charset="0"/>
                <a:cs typeface="Times New Roman" pitchFamily="18" charset="0"/>
              </a:defRPr>
            </a:pPr>
            <a:endParaRPr lang="nb-NO"/>
          </a:p>
        </c:txPr>
      </c:legendEntry>
      <c:layout>
        <c:manualLayout>
          <c:xMode val="edge"/>
          <c:yMode val="edge"/>
          <c:x val="0.91970805421710522"/>
          <c:y val="2.865508572551961E-2"/>
          <c:w val="6.5434474608584411E-2"/>
          <c:h val="0.31450930348051198"/>
        </c:manualLayout>
      </c:layout>
      <c:overlay val="0"/>
      <c:spPr>
        <a:ln>
          <a:solidFill>
            <a:schemeClr val="bg1">
              <a:lumMod val="65000"/>
            </a:schemeClr>
          </a:solidFill>
        </a:ln>
      </c:spPr>
      <c:txPr>
        <a:bodyPr/>
        <a:lstStyle/>
        <a:p>
          <a:pPr rtl="0">
            <a:defRPr sz="700">
              <a:latin typeface="Times New Roman" pitchFamily="18" charset="0"/>
              <a:cs typeface="Times New Roman" pitchFamily="18" charset="0"/>
            </a:defRPr>
          </a:pPr>
          <a:endParaRPr lang="nb-NO"/>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92043099875702"/>
          <c:y val="0.18631362076244207"/>
          <c:w val="0.74162362476711419"/>
          <c:h val="0.49357621890959413"/>
        </c:manualLayout>
      </c:layout>
      <c:lineChart>
        <c:grouping val="standard"/>
        <c:varyColors val="0"/>
        <c:ser>
          <c:idx val="1"/>
          <c:order val="0"/>
          <c:spPr>
            <a:ln>
              <a:solidFill>
                <a:schemeClr val="tx1"/>
              </a:solidFill>
            </a:ln>
          </c:spPr>
          <c:marker>
            <c:symbol val="none"/>
          </c:marker>
          <c:dLbls>
            <c:spPr>
              <a:noFill/>
              <a:ln>
                <a:noFill/>
              </a:ln>
              <a:effectLst/>
            </c:spPr>
            <c:txPr>
              <a:bodyPr/>
              <a:lstStyle/>
              <a:p>
                <a:pPr>
                  <a:defRPr sz="800">
                    <a:latin typeface="Times New Roman" pitchFamily="18" charset="0"/>
                    <a:cs typeface="Times New Roman" pitchFamily="18" charset="0"/>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'slope Aug 2017'!$N$58:$N$62</c:f>
              <c:numCache>
                <c:formatCode>General</c:formatCode>
                <c:ptCount val="5"/>
                <c:pt idx="0">
                  <c:v>-5.57</c:v>
                </c:pt>
                <c:pt idx="1">
                  <c:v>-2.7800000000000002</c:v>
                </c:pt>
                <c:pt idx="2">
                  <c:v>0</c:v>
                </c:pt>
                <c:pt idx="3">
                  <c:v>2.7800000000000002</c:v>
                </c:pt>
                <c:pt idx="4">
                  <c:v>5.48</c:v>
                </c:pt>
              </c:numCache>
            </c:numRef>
          </c:cat>
          <c:val>
            <c:numRef>
              <c:f>'slope Aug 2017'!$O$58:$O$62</c:f>
              <c:numCache>
                <c:formatCode>0.00</c:formatCode>
                <c:ptCount val="5"/>
                <c:pt idx="0">
                  <c:v>1.4269999999999763</c:v>
                </c:pt>
                <c:pt idx="1">
                  <c:v>1.1479999999999815</c:v>
                </c:pt>
                <c:pt idx="2">
                  <c:v>0.87000000000000721</c:v>
                </c:pt>
                <c:pt idx="3">
                  <c:v>0.59199999999999997</c:v>
                </c:pt>
                <c:pt idx="4">
                  <c:v>0.32200000000000412</c:v>
                </c:pt>
              </c:numCache>
            </c:numRef>
          </c:val>
          <c:smooth val="0"/>
          <c:extLst>
            <c:ext xmlns:c16="http://schemas.microsoft.com/office/drawing/2014/chart" uri="{C3380CC4-5D6E-409C-BE32-E72D297353CC}">
              <c16:uniqueId val="{00000000-5240-4B6B-9FB3-6278923BC572}"/>
            </c:ext>
          </c:extLst>
        </c:ser>
        <c:dLbls>
          <c:showLegendKey val="0"/>
          <c:showVal val="0"/>
          <c:showCatName val="0"/>
          <c:showSerName val="0"/>
          <c:showPercent val="0"/>
          <c:showBubbleSize val="0"/>
        </c:dLbls>
        <c:smooth val="0"/>
        <c:axId val="64305792"/>
        <c:axId val="80197504"/>
      </c:lineChart>
      <c:catAx>
        <c:axId val="64305792"/>
        <c:scaling>
          <c:orientation val="minMax"/>
        </c:scaling>
        <c:delete val="0"/>
        <c:axPos val="b"/>
        <c:title>
          <c:tx>
            <c:rich>
              <a:bodyPr/>
              <a:lstStyle/>
              <a:p>
                <a:pPr>
                  <a:defRPr sz="900" b="1" i="0" u="none" strike="noStrike" baseline="0">
                    <a:solidFill>
                      <a:srgbClr val="000000"/>
                    </a:solidFill>
                    <a:latin typeface="Times New Roman"/>
                    <a:ea typeface="Times New Roman"/>
                    <a:cs typeface="Times New Roman"/>
                  </a:defRPr>
                </a:pPr>
                <a:r>
                  <a:rPr lang="en-US" sz="900" b="1"/>
                  <a:t>Initial</a:t>
                </a:r>
                <a:r>
                  <a:rPr lang="en-US" sz="900" b="1" baseline="0"/>
                  <a:t> </a:t>
                </a:r>
                <a:r>
                  <a:rPr lang="en-US" sz="900" b="1"/>
                  <a:t>Reseller </a:t>
                </a:r>
                <a:r>
                  <a:rPr lang="en-US" sz="900" b="1" i="0" u="none" strike="noStrike" kern="1200" baseline="0">
                    <a:solidFill>
                      <a:srgbClr val="000000"/>
                    </a:solidFill>
                    <a:latin typeface="Times New Roman"/>
                    <a:cs typeface="Times New Roman"/>
                  </a:rPr>
                  <a:t>Selection Efforts</a:t>
                </a:r>
                <a:r>
                  <a:rPr lang="en-US" sz="900" b="1"/>
                  <a:t>, SSELT1</a:t>
                </a:r>
              </a:p>
            </c:rich>
          </c:tx>
          <c:layout>
            <c:manualLayout>
              <c:xMode val="edge"/>
              <c:yMode val="edge"/>
              <c:x val="0.25022634546919287"/>
              <c:y val="0.81481105184432601"/>
            </c:manualLayout>
          </c:layout>
          <c:overlay val="0"/>
          <c:spPr>
            <a:noFill/>
            <a:ln w="25400">
              <a:noFill/>
            </a:ln>
          </c:spPr>
        </c:title>
        <c:numFmt formatCode="General" sourceLinked="0"/>
        <c:majorTickMark val="out"/>
        <c:minorTickMark val="none"/>
        <c:tickLblPos val="nextTo"/>
        <c:spPr>
          <a:ln w="3175">
            <a:solidFill>
              <a:srgbClr val="808080"/>
            </a:solidFill>
            <a:prstDash val="solid"/>
          </a:ln>
        </c:spPr>
        <c:txPr>
          <a:bodyPr/>
          <a:lstStyle/>
          <a:p>
            <a:pPr>
              <a:defRPr sz="800" b="0">
                <a:latin typeface="Times New Roman" pitchFamily="18" charset="0"/>
                <a:cs typeface="Times New Roman" pitchFamily="18" charset="0"/>
              </a:defRPr>
            </a:pPr>
            <a:endParaRPr lang="nb-NO"/>
          </a:p>
        </c:txPr>
        <c:crossAx val="80197504"/>
        <c:crossesAt val="0"/>
        <c:auto val="1"/>
        <c:lblAlgn val="ctr"/>
        <c:lblOffset val="100"/>
        <c:tickLblSkip val="1"/>
        <c:noMultiLvlLbl val="0"/>
      </c:catAx>
      <c:valAx>
        <c:axId val="80197504"/>
        <c:scaling>
          <c:orientation val="minMax"/>
        </c:scaling>
        <c:delete val="0"/>
        <c:axPos val="l"/>
        <c:title>
          <c:tx>
            <c:rich>
              <a:bodyPr/>
              <a:lstStyle/>
              <a:p>
                <a:pPr>
                  <a:defRPr sz="900" b="1" i="0" u="none" strike="noStrike" baseline="0">
                    <a:solidFill>
                      <a:srgbClr val="000000"/>
                    </a:solidFill>
                    <a:latin typeface="Times New Roman"/>
                    <a:ea typeface="Times New Roman"/>
                    <a:cs typeface="Times New Roman"/>
                  </a:defRPr>
                </a:pPr>
                <a:r>
                  <a:rPr lang="en-US" sz="900"/>
                  <a:t>Slope of Supplier Incremental  Investments on </a:t>
                </a:r>
                <a:r>
                  <a:rPr lang="en-US" sz="900" b="1" i="0" u="none" strike="noStrike" baseline="0">
                    <a:effectLst/>
                  </a:rPr>
                  <a:t>Ex Post Transaction Costs  </a:t>
                </a:r>
                <a:endParaRPr lang="en-US" sz="900"/>
              </a:p>
            </c:rich>
          </c:tx>
          <c:layout>
            <c:manualLayout>
              <c:xMode val="edge"/>
              <c:yMode val="edge"/>
              <c:x val="1.2827455973943799E-2"/>
              <c:y val="9.750691445827353E-2"/>
            </c:manualLayout>
          </c:layout>
          <c:overlay val="0"/>
          <c:spPr>
            <a:noFill/>
            <a:ln w="25400">
              <a:noFill/>
            </a:ln>
          </c:spPr>
        </c:title>
        <c:numFmt formatCode="0.0" sourceLinked="0"/>
        <c:majorTickMark val="in"/>
        <c:minorTickMark val="none"/>
        <c:tickLblPos val="nextTo"/>
        <c:spPr>
          <a:ln w="3175">
            <a:solidFill>
              <a:srgbClr val="808080"/>
            </a:solidFill>
            <a:prstDash val="solid"/>
          </a:ln>
        </c:spPr>
        <c:txPr>
          <a:bodyPr/>
          <a:lstStyle/>
          <a:p>
            <a:pPr>
              <a:defRPr sz="800" b="0">
                <a:latin typeface="Times New Roman" pitchFamily="18" charset="0"/>
                <a:cs typeface="Times New Roman" pitchFamily="18" charset="0"/>
              </a:defRPr>
            </a:pPr>
            <a:endParaRPr lang="nb-NO"/>
          </a:p>
        </c:txPr>
        <c:crossAx val="64305792"/>
        <c:crossesAt val="3"/>
        <c:crossBetween val="midCat"/>
        <c:majorUnit val="0.5"/>
      </c:valAx>
      <c:spPr>
        <a:solidFill>
          <a:srgbClr val="FFFFFF"/>
        </a:solidFill>
        <a:ln w="25400">
          <a:noFill/>
        </a:ln>
      </c:spPr>
    </c:plotArea>
    <c:plotVisOnly val="1"/>
    <c:dispBlanksAs val="gap"/>
    <c:showDLblsOverMax val="0"/>
  </c:chart>
  <c:spPr>
    <a:solidFill>
      <a:srgbClr val="FFFFFF"/>
    </a:solidFill>
    <a:ln w="3175">
      <a:noFill/>
      <a:prstDash val="solid"/>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30"/>
      <c:depthPercent val="330"/>
      <c:rAngAx val="0"/>
      <c:perspective val="0"/>
    </c:view3D>
    <c:floor>
      <c:thickness val="0"/>
    </c:floor>
    <c:sideWall>
      <c:thickness val="0"/>
    </c:sideWall>
    <c:backWall>
      <c:thickness val="0"/>
    </c:backWall>
    <c:plotArea>
      <c:layout>
        <c:manualLayout>
          <c:layoutTarget val="inner"/>
          <c:xMode val="edge"/>
          <c:yMode val="edge"/>
          <c:x val="8.3373686386255697E-2"/>
          <c:y val="2.6860031137579898E-2"/>
          <c:w val="0.81135317726539802"/>
          <c:h val="0.92415845123019225"/>
        </c:manualLayout>
      </c:layout>
      <c:surface3DChart>
        <c:wireframe val="0"/>
        <c:ser>
          <c:idx val="0"/>
          <c:order val="0"/>
          <c:tx>
            <c:strRef>
              <c:f>'Surfaces Aug 2017'!$H$65</c:f>
              <c:strCache>
                <c:ptCount val="1"/>
                <c:pt idx="0">
                  <c:v>-3</c:v>
                </c:pt>
              </c:strCache>
            </c:strRef>
          </c:tx>
          <c:cat>
            <c:numRef>
              <c:f>'Surfaces Aug 2017'!$G$66:$G$88</c:f>
              <c:numCache>
                <c:formatCode>General</c:formatCode>
                <c:ptCount val="23"/>
                <c:pt idx="0">
                  <c:v>-5.57</c:v>
                </c:pt>
                <c:pt idx="1">
                  <c:v>-5</c:v>
                </c:pt>
                <c:pt idx="2">
                  <c:v>-4.5</c:v>
                </c:pt>
                <c:pt idx="3">
                  <c:v>-4</c:v>
                </c:pt>
                <c:pt idx="4">
                  <c:v>-3.5</c:v>
                </c:pt>
                <c:pt idx="5">
                  <c:v>-3</c:v>
                </c:pt>
                <c:pt idx="6">
                  <c:v>-2.5</c:v>
                </c:pt>
                <c:pt idx="7">
                  <c:v>-2</c:v>
                </c:pt>
                <c:pt idx="8">
                  <c:v>-1.5</c:v>
                </c:pt>
                <c:pt idx="9">
                  <c:v>-1</c:v>
                </c:pt>
                <c:pt idx="10">
                  <c:v>-0.5</c:v>
                </c:pt>
                <c:pt idx="11">
                  <c:v>0</c:v>
                </c:pt>
                <c:pt idx="12">
                  <c:v>0.5</c:v>
                </c:pt>
                <c:pt idx="13">
                  <c:v>1</c:v>
                </c:pt>
                <c:pt idx="14">
                  <c:v>1.5</c:v>
                </c:pt>
                <c:pt idx="15">
                  <c:v>2</c:v>
                </c:pt>
                <c:pt idx="16">
                  <c:v>2.5</c:v>
                </c:pt>
                <c:pt idx="17">
                  <c:v>3</c:v>
                </c:pt>
                <c:pt idx="18">
                  <c:v>3.5</c:v>
                </c:pt>
                <c:pt idx="19">
                  <c:v>4</c:v>
                </c:pt>
                <c:pt idx="20">
                  <c:v>4.5</c:v>
                </c:pt>
                <c:pt idx="21">
                  <c:v>5</c:v>
                </c:pt>
                <c:pt idx="22">
                  <c:v>5.48</c:v>
                </c:pt>
              </c:numCache>
            </c:numRef>
          </c:cat>
          <c:val>
            <c:numRef>
              <c:f>'Surfaces Aug 2017'!$H$66:$H$88</c:f>
              <c:numCache>
                <c:formatCode>0.00</c:formatCode>
                <c:ptCount val="23"/>
                <c:pt idx="0">
                  <c:v>-0.50529999999999997</c:v>
                </c:pt>
                <c:pt idx="1">
                  <c:v>-0.34</c:v>
                </c:pt>
                <c:pt idx="2">
                  <c:v>-0.19500000000000001</c:v>
                </c:pt>
                <c:pt idx="3">
                  <c:v>-5.00000000000001E-2</c:v>
                </c:pt>
                <c:pt idx="4">
                  <c:v>9.5000000000000029E-2</c:v>
                </c:pt>
                <c:pt idx="5">
                  <c:v>0.24000000000000005</c:v>
                </c:pt>
                <c:pt idx="6">
                  <c:v>0.38500000000000412</c:v>
                </c:pt>
                <c:pt idx="7">
                  <c:v>0.53</c:v>
                </c:pt>
                <c:pt idx="8">
                  <c:v>0.67500000000001126</c:v>
                </c:pt>
                <c:pt idx="9">
                  <c:v>0.82000000000000195</c:v>
                </c:pt>
                <c:pt idx="10">
                  <c:v>0.96500000000000319</c:v>
                </c:pt>
                <c:pt idx="11">
                  <c:v>1.1099999999999794</c:v>
                </c:pt>
                <c:pt idx="12">
                  <c:v>1.2549999999999826</c:v>
                </c:pt>
                <c:pt idx="13">
                  <c:v>1.4</c:v>
                </c:pt>
                <c:pt idx="14">
                  <c:v>1.5449999999999835</c:v>
                </c:pt>
                <c:pt idx="15">
                  <c:v>1.6900000000000155</c:v>
                </c:pt>
                <c:pt idx="16">
                  <c:v>1.835</c:v>
                </c:pt>
                <c:pt idx="17">
                  <c:v>1.9800000000000175</c:v>
                </c:pt>
                <c:pt idx="18">
                  <c:v>2.125</c:v>
                </c:pt>
                <c:pt idx="19">
                  <c:v>2.27</c:v>
                </c:pt>
                <c:pt idx="20">
                  <c:v>2.4149999999999987</c:v>
                </c:pt>
                <c:pt idx="21">
                  <c:v>2.56</c:v>
                </c:pt>
                <c:pt idx="22">
                  <c:v>2.6991999999999998</c:v>
                </c:pt>
              </c:numCache>
            </c:numRef>
          </c:val>
          <c:extLst>
            <c:ext xmlns:c16="http://schemas.microsoft.com/office/drawing/2014/chart" uri="{C3380CC4-5D6E-409C-BE32-E72D297353CC}">
              <c16:uniqueId val="{00000000-3CC8-42DB-9BD6-011E35F59A99}"/>
            </c:ext>
          </c:extLst>
        </c:ser>
        <c:ser>
          <c:idx val="1"/>
          <c:order val="1"/>
          <c:tx>
            <c:strRef>
              <c:f>'Surfaces Aug 2017'!$I$65</c:f>
              <c:strCache>
                <c:ptCount val="1"/>
                <c:pt idx="0">
                  <c:v>-2.5</c:v>
                </c:pt>
              </c:strCache>
            </c:strRef>
          </c:tx>
          <c:cat>
            <c:numRef>
              <c:f>'Surfaces Aug 2017'!$G$66:$G$88</c:f>
              <c:numCache>
                <c:formatCode>General</c:formatCode>
                <c:ptCount val="23"/>
                <c:pt idx="0">
                  <c:v>-5.57</c:v>
                </c:pt>
                <c:pt idx="1">
                  <c:v>-5</c:v>
                </c:pt>
                <c:pt idx="2">
                  <c:v>-4.5</c:v>
                </c:pt>
                <c:pt idx="3">
                  <c:v>-4</c:v>
                </c:pt>
                <c:pt idx="4">
                  <c:v>-3.5</c:v>
                </c:pt>
                <c:pt idx="5">
                  <c:v>-3</c:v>
                </c:pt>
                <c:pt idx="6">
                  <c:v>-2.5</c:v>
                </c:pt>
                <c:pt idx="7">
                  <c:v>-2</c:v>
                </c:pt>
                <c:pt idx="8">
                  <c:v>-1.5</c:v>
                </c:pt>
                <c:pt idx="9">
                  <c:v>-1</c:v>
                </c:pt>
                <c:pt idx="10">
                  <c:v>-0.5</c:v>
                </c:pt>
                <c:pt idx="11">
                  <c:v>0</c:v>
                </c:pt>
                <c:pt idx="12">
                  <c:v>0.5</c:v>
                </c:pt>
                <c:pt idx="13">
                  <c:v>1</c:v>
                </c:pt>
                <c:pt idx="14">
                  <c:v>1.5</c:v>
                </c:pt>
                <c:pt idx="15">
                  <c:v>2</c:v>
                </c:pt>
                <c:pt idx="16">
                  <c:v>2.5</c:v>
                </c:pt>
                <c:pt idx="17">
                  <c:v>3</c:v>
                </c:pt>
                <c:pt idx="18">
                  <c:v>3.5</c:v>
                </c:pt>
                <c:pt idx="19">
                  <c:v>4</c:v>
                </c:pt>
                <c:pt idx="20">
                  <c:v>4.5</c:v>
                </c:pt>
                <c:pt idx="21">
                  <c:v>5</c:v>
                </c:pt>
                <c:pt idx="22">
                  <c:v>5.48</c:v>
                </c:pt>
              </c:numCache>
            </c:numRef>
          </c:cat>
          <c:val>
            <c:numRef>
              <c:f>'Surfaces Aug 2017'!$I$66:$I$88</c:f>
              <c:numCache>
                <c:formatCode>0.00</c:formatCode>
                <c:ptCount val="23"/>
                <c:pt idx="0">
                  <c:v>-0.18325000000000005</c:v>
                </c:pt>
                <c:pt idx="1">
                  <c:v>-5.5000000000000014E-2</c:v>
                </c:pt>
                <c:pt idx="2">
                  <c:v>5.7500000000000114E-2</c:v>
                </c:pt>
                <c:pt idx="3">
                  <c:v>0.17</c:v>
                </c:pt>
                <c:pt idx="4">
                  <c:v>0.28250000000000008</c:v>
                </c:pt>
                <c:pt idx="5">
                  <c:v>0.39500000000000413</c:v>
                </c:pt>
                <c:pt idx="6">
                  <c:v>0.50749999999999973</c:v>
                </c:pt>
                <c:pt idx="7">
                  <c:v>0.62000000000000721</c:v>
                </c:pt>
                <c:pt idx="8">
                  <c:v>0.73250000000000004</c:v>
                </c:pt>
                <c:pt idx="9">
                  <c:v>0.84500000000000319</c:v>
                </c:pt>
                <c:pt idx="10">
                  <c:v>0.95750000000000002</c:v>
                </c:pt>
                <c:pt idx="11">
                  <c:v>1.07</c:v>
                </c:pt>
                <c:pt idx="12">
                  <c:v>1.1825000000000001</c:v>
                </c:pt>
                <c:pt idx="13">
                  <c:v>1.2949999999999835</c:v>
                </c:pt>
                <c:pt idx="14">
                  <c:v>1.4074999999999713</c:v>
                </c:pt>
                <c:pt idx="15">
                  <c:v>1.52</c:v>
                </c:pt>
                <c:pt idx="16">
                  <c:v>1.6325000000000001</c:v>
                </c:pt>
                <c:pt idx="17">
                  <c:v>1.7449999999999826</c:v>
                </c:pt>
                <c:pt idx="18">
                  <c:v>1.8574999999999835</c:v>
                </c:pt>
                <c:pt idx="19">
                  <c:v>1.9700000000000155</c:v>
                </c:pt>
                <c:pt idx="20">
                  <c:v>2.0825</c:v>
                </c:pt>
                <c:pt idx="21">
                  <c:v>2.1949999999999998</c:v>
                </c:pt>
                <c:pt idx="22">
                  <c:v>2.3029999999999977</c:v>
                </c:pt>
              </c:numCache>
            </c:numRef>
          </c:val>
          <c:extLst>
            <c:ext xmlns:c16="http://schemas.microsoft.com/office/drawing/2014/chart" uri="{C3380CC4-5D6E-409C-BE32-E72D297353CC}">
              <c16:uniqueId val="{00000001-3CC8-42DB-9BD6-011E35F59A99}"/>
            </c:ext>
          </c:extLst>
        </c:ser>
        <c:ser>
          <c:idx val="2"/>
          <c:order val="2"/>
          <c:tx>
            <c:strRef>
              <c:f>'Surfaces Aug 2017'!$J$65</c:f>
              <c:strCache>
                <c:ptCount val="1"/>
                <c:pt idx="0">
                  <c:v>-2</c:v>
                </c:pt>
              </c:strCache>
            </c:strRef>
          </c:tx>
          <c:cat>
            <c:numRef>
              <c:f>'Surfaces Aug 2017'!$G$66:$G$88</c:f>
              <c:numCache>
                <c:formatCode>General</c:formatCode>
                <c:ptCount val="23"/>
                <c:pt idx="0">
                  <c:v>-5.57</c:v>
                </c:pt>
                <c:pt idx="1">
                  <c:v>-5</c:v>
                </c:pt>
                <c:pt idx="2">
                  <c:v>-4.5</c:v>
                </c:pt>
                <c:pt idx="3">
                  <c:v>-4</c:v>
                </c:pt>
                <c:pt idx="4">
                  <c:v>-3.5</c:v>
                </c:pt>
                <c:pt idx="5">
                  <c:v>-3</c:v>
                </c:pt>
                <c:pt idx="6">
                  <c:v>-2.5</c:v>
                </c:pt>
                <c:pt idx="7">
                  <c:v>-2</c:v>
                </c:pt>
                <c:pt idx="8">
                  <c:v>-1.5</c:v>
                </c:pt>
                <c:pt idx="9">
                  <c:v>-1</c:v>
                </c:pt>
                <c:pt idx="10">
                  <c:v>-0.5</c:v>
                </c:pt>
                <c:pt idx="11">
                  <c:v>0</c:v>
                </c:pt>
                <c:pt idx="12">
                  <c:v>0.5</c:v>
                </c:pt>
                <c:pt idx="13">
                  <c:v>1</c:v>
                </c:pt>
                <c:pt idx="14">
                  <c:v>1.5</c:v>
                </c:pt>
                <c:pt idx="15">
                  <c:v>2</c:v>
                </c:pt>
                <c:pt idx="16">
                  <c:v>2.5</c:v>
                </c:pt>
                <c:pt idx="17">
                  <c:v>3</c:v>
                </c:pt>
                <c:pt idx="18">
                  <c:v>3.5</c:v>
                </c:pt>
                <c:pt idx="19">
                  <c:v>4</c:v>
                </c:pt>
                <c:pt idx="20">
                  <c:v>4.5</c:v>
                </c:pt>
                <c:pt idx="21">
                  <c:v>5</c:v>
                </c:pt>
                <c:pt idx="22">
                  <c:v>5.48</c:v>
                </c:pt>
              </c:numCache>
            </c:numRef>
          </c:cat>
          <c:val>
            <c:numRef>
              <c:f>'Surfaces Aug 2017'!$J$66:$J$88</c:f>
              <c:numCache>
                <c:formatCode>0.00</c:formatCode>
                <c:ptCount val="23"/>
                <c:pt idx="0">
                  <c:v>0.13880000000000001</c:v>
                </c:pt>
                <c:pt idx="1">
                  <c:v>0.23</c:v>
                </c:pt>
                <c:pt idx="2">
                  <c:v>0.31000000000000211</c:v>
                </c:pt>
                <c:pt idx="3">
                  <c:v>0.39000000000000312</c:v>
                </c:pt>
                <c:pt idx="4">
                  <c:v>0.47000000000000008</c:v>
                </c:pt>
                <c:pt idx="5">
                  <c:v>0.55000000000000004</c:v>
                </c:pt>
                <c:pt idx="6">
                  <c:v>0.63000000000000822</c:v>
                </c:pt>
                <c:pt idx="7">
                  <c:v>0.71000000000000318</c:v>
                </c:pt>
                <c:pt idx="8">
                  <c:v>0.79</c:v>
                </c:pt>
                <c:pt idx="9">
                  <c:v>0.87000000000000621</c:v>
                </c:pt>
                <c:pt idx="10">
                  <c:v>0.95000000000000195</c:v>
                </c:pt>
                <c:pt idx="11">
                  <c:v>1.03</c:v>
                </c:pt>
                <c:pt idx="12">
                  <c:v>1.1099999999999794</c:v>
                </c:pt>
                <c:pt idx="13">
                  <c:v>1.1900000000000175</c:v>
                </c:pt>
                <c:pt idx="14">
                  <c:v>1.27</c:v>
                </c:pt>
                <c:pt idx="15">
                  <c:v>1.35</c:v>
                </c:pt>
                <c:pt idx="16">
                  <c:v>1.43</c:v>
                </c:pt>
                <c:pt idx="17">
                  <c:v>1.51</c:v>
                </c:pt>
                <c:pt idx="18">
                  <c:v>1.59</c:v>
                </c:pt>
                <c:pt idx="19">
                  <c:v>1.6700000000000021</c:v>
                </c:pt>
                <c:pt idx="20">
                  <c:v>1.75</c:v>
                </c:pt>
                <c:pt idx="21">
                  <c:v>1.83</c:v>
                </c:pt>
                <c:pt idx="22">
                  <c:v>1.9068000000000001</c:v>
                </c:pt>
              </c:numCache>
            </c:numRef>
          </c:val>
          <c:extLst>
            <c:ext xmlns:c16="http://schemas.microsoft.com/office/drawing/2014/chart" uri="{C3380CC4-5D6E-409C-BE32-E72D297353CC}">
              <c16:uniqueId val="{00000002-3CC8-42DB-9BD6-011E35F59A99}"/>
            </c:ext>
          </c:extLst>
        </c:ser>
        <c:ser>
          <c:idx val="3"/>
          <c:order val="3"/>
          <c:tx>
            <c:strRef>
              <c:f>'Surfaces Aug 2017'!$K$65</c:f>
              <c:strCache>
                <c:ptCount val="1"/>
                <c:pt idx="0">
                  <c:v>-1.5</c:v>
                </c:pt>
              </c:strCache>
            </c:strRef>
          </c:tx>
          <c:cat>
            <c:numRef>
              <c:f>'Surfaces Aug 2017'!$G$66:$G$88</c:f>
              <c:numCache>
                <c:formatCode>General</c:formatCode>
                <c:ptCount val="23"/>
                <c:pt idx="0">
                  <c:v>-5.57</c:v>
                </c:pt>
                <c:pt idx="1">
                  <c:v>-5</c:v>
                </c:pt>
                <c:pt idx="2">
                  <c:v>-4.5</c:v>
                </c:pt>
                <c:pt idx="3">
                  <c:v>-4</c:v>
                </c:pt>
                <c:pt idx="4">
                  <c:v>-3.5</c:v>
                </c:pt>
                <c:pt idx="5">
                  <c:v>-3</c:v>
                </c:pt>
                <c:pt idx="6">
                  <c:v>-2.5</c:v>
                </c:pt>
                <c:pt idx="7">
                  <c:v>-2</c:v>
                </c:pt>
                <c:pt idx="8">
                  <c:v>-1.5</c:v>
                </c:pt>
                <c:pt idx="9">
                  <c:v>-1</c:v>
                </c:pt>
                <c:pt idx="10">
                  <c:v>-0.5</c:v>
                </c:pt>
                <c:pt idx="11">
                  <c:v>0</c:v>
                </c:pt>
                <c:pt idx="12">
                  <c:v>0.5</c:v>
                </c:pt>
                <c:pt idx="13">
                  <c:v>1</c:v>
                </c:pt>
                <c:pt idx="14">
                  <c:v>1.5</c:v>
                </c:pt>
                <c:pt idx="15">
                  <c:v>2</c:v>
                </c:pt>
                <c:pt idx="16">
                  <c:v>2.5</c:v>
                </c:pt>
                <c:pt idx="17">
                  <c:v>3</c:v>
                </c:pt>
                <c:pt idx="18">
                  <c:v>3.5</c:v>
                </c:pt>
                <c:pt idx="19">
                  <c:v>4</c:v>
                </c:pt>
                <c:pt idx="20">
                  <c:v>4.5</c:v>
                </c:pt>
                <c:pt idx="21">
                  <c:v>5</c:v>
                </c:pt>
                <c:pt idx="22">
                  <c:v>5.48</c:v>
                </c:pt>
              </c:numCache>
            </c:numRef>
          </c:cat>
          <c:val>
            <c:numRef>
              <c:f>'Surfaces Aug 2017'!$K$66:$K$88</c:f>
              <c:numCache>
                <c:formatCode>0.00</c:formatCode>
                <c:ptCount val="23"/>
                <c:pt idx="0">
                  <c:v>0.46085000000000009</c:v>
                </c:pt>
                <c:pt idx="1">
                  <c:v>0.51500000000000001</c:v>
                </c:pt>
                <c:pt idx="2">
                  <c:v>0.5625</c:v>
                </c:pt>
                <c:pt idx="3">
                  <c:v>0.61000000000000321</c:v>
                </c:pt>
                <c:pt idx="4">
                  <c:v>0.65750000000000219</c:v>
                </c:pt>
                <c:pt idx="5">
                  <c:v>0.70500000000000318</c:v>
                </c:pt>
                <c:pt idx="6">
                  <c:v>0.75250000000000195</c:v>
                </c:pt>
                <c:pt idx="7">
                  <c:v>0.8</c:v>
                </c:pt>
                <c:pt idx="8">
                  <c:v>0.84750000000000003</c:v>
                </c:pt>
                <c:pt idx="9">
                  <c:v>0.89500000000000002</c:v>
                </c:pt>
                <c:pt idx="10">
                  <c:v>0.9425</c:v>
                </c:pt>
                <c:pt idx="11">
                  <c:v>0.99</c:v>
                </c:pt>
                <c:pt idx="12">
                  <c:v>1.0374999999999786</c:v>
                </c:pt>
                <c:pt idx="13">
                  <c:v>1.085</c:v>
                </c:pt>
                <c:pt idx="14">
                  <c:v>1.1325000000000001</c:v>
                </c:pt>
                <c:pt idx="15">
                  <c:v>1.1800000000000141</c:v>
                </c:pt>
                <c:pt idx="16">
                  <c:v>1.2274999999999754</c:v>
                </c:pt>
                <c:pt idx="17">
                  <c:v>1.2749999999999826</c:v>
                </c:pt>
                <c:pt idx="18">
                  <c:v>1.3225</c:v>
                </c:pt>
                <c:pt idx="19">
                  <c:v>1.37</c:v>
                </c:pt>
                <c:pt idx="20">
                  <c:v>1.4174999999999713</c:v>
                </c:pt>
                <c:pt idx="21">
                  <c:v>1.4649999999999785</c:v>
                </c:pt>
                <c:pt idx="22">
                  <c:v>1.5105999999999846</c:v>
                </c:pt>
              </c:numCache>
            </c:numRef>
          </c:val>
          <c:extLst>
            <c:ext xmlns:c16="http://schemas.microsoft.com/office/drawing/2014/chart" uri="{C3380CC4-5D6E-409C-BE32-E72D297353CC}">
              <c16:uniqueId val="{00000003-3CC8-42DB-9BD6-011E35F59A99}"/>
            </c:ext>
          </c:extLst>
        </c:ser>
        <c:ser>
          <c:idx val="4"/>
          <c:order val="4"/>
          <c:tx>
            <c:strRef>
              <c:f>'Surfaces Aug 2017'!$L$65</c:f>
              <c:strCache>
                <c:ptCount val="1"/>
                <c:pt idx="0">
                  <c:v>-1</c:v>
                </c:pt>
              </c:strCache>
            </c:strRef>
          </c:tx>
          <c:cat>
            <c:numRef>
              <c:f>'Surfaces Aug 2017'!$G$66:$G$88</c:f>
              <c:numCache>
                <c:formatCode>General</c:formatCode>
                <c:ptCount val="23"/>
                <c:pt idx="0">
                  <c:v>-5.57</c:v>
                </c:pt>
                <c:pt idx="1">
                  <c:v>-5</c:v>
                </c:pt>
                <c:pt idx="2">
                  <c:v>-4.5</c:v>
                </c:pt>
                <c:pt idx="3">
                  <c:v>-4</c:v>
                </c:pt>
                <c:pt idx="4">
                  <c:v>-3.5</c:v>
                </c:pt>
                <c:pt idx="5">
                  <c:v>-3</c:v>
                </c:pt>
                <c:pt idx="6">
                  <c:v>-2.5</c:v>
                </c:pt>
                <c:pt idx="7">
                  <c:v>-2</c:v>
                </c:pt>
                <c:pt idx="8">
                  <c:v>-1.5</c:v>
                </c:pt>
                <c:pt idx="9">
                  <c:v>-1</c:v>
                </c:pt>
                <c:pt idx="10">
                  <c:v>-0.5</c:v>
                </c:pt>
                <c:pt idx="11">
                  <c:v>0</c:v>
                </c:pt>
                <c:pt idx="12">
                  <c:v>0.5</c:v>
                </c:pt>
                <c:pt idx="13">
                  <c:v>1</c:v>
                </c:pt>
                <c:pt idx="14">
                  <c:v>1.5</c:v>
                </c:pt>
                <c:pt idx="15">
                  <c:v>2</c:v>
                </c:pt>
                <c:pt idx="16">
                  <c:v>2.5</c:v>
                </c:pt>
                <c:pt idx="17">
                  <c:v>3</c:v>
                </c:pt>
                <c:pt idx="18">
                  <c:v>3.5</c:v>
                </c:pt>
                <c:pt idx="19">
                  <c:v>4</c:v>
                </c:pt>
                <c:pt idx="20">
                  <c:v>4.5</c:v>
                </c:pt>
                <c:pt idx="21">
                  <c:v>5</c:v>
                </c:pt>
                <c:pt idx="22">
                  <c:v>5.48</c:v>
                </c:pt>
              </c:numCache>
            </c:numRef>
          </c:cat>
          <c:val>
            <c:numRef>
              <c:f>'Surfaces Aug 2017'!$L$66:$L$88</c:f>
              <c:numCache>
                <c:formatCode>0.00</c:formatCode>
                <c:ptCount val="23"/>
                <c:pt idx="0">
                  <c:v>0.78290000000000004</c:v>
                </c:pt>
                <c:pt idx="1">
                  <c:v>0.80000000000000104</c:v>
                </c:pt>
                <c:pt idx="2">
                  <c:v>0.81500000000000195</c:v>
                </c:pt>
                <c:pt idx="3">
                  <c:v>0.83000000000000318</c:v>
                </c:pt>
                <c:pt idx="4">
                  <c:v>0.84500000000000319</c:v>
                </c:pt>
                <c:pt idx="5">
                  <c:v>0.86000000000000321</c:v>
                </c:pt>
                <c:pt idx="6">
                  <c:v>0.87500000000000921</c:v>
                </c:pt>
                <c:pt idx="7">
                  <c:v>0.89</c:v>
                </c:pt>
                <c:pt idx="8">
                  <c:v>0.90500000000000003</c:v>
                </c:pt>
                <c:pt idx="9">
                  <c:v>0.92</c:v>
                </c:pt>
                <c:pt idx="10">
                  <c:v>0.93500000000000005</c:v>
                </c:pt>
                <c:pt idx="11">
                  <c:v>0.95000000000000195</c:v>
                </c:pt>
                <c:pt idx="12">
                  <c:v>0.96500000000000219</c:v>
                </c:pt>
                <c:pt idx="13">
                  <c:v>0.98</c:v>
                </c:pt>
                <c:pt idx="14">
                  <c:v>0.995</c:v>
                </c:pt>
                <c:pt idx="15">
                  <c:v>1.009999999999974</c:v>
                </c:pt>
                <c:pt idx="16">
                  <c:v>1.0249999999999826</c:v>
                </c:pt>
                <c:pt idx="17">
                  <c:v>1.04</c:v>
                </c:pt>
                <c:pt idx="18">
                  <c:v>1.0549999999999835</c:v>
                </c:pt>
                <c:pt idx="19">
                  <c:v>1.0699999999999783</c:v>
                </c:pt>
                <c:pt idx="20">
                  <c:v>1.085</c:v>
                </c:pt>
                <c:pt idx="21">
                  <c:v>1.1000000000000001</c:v>
                </c:pt>
                <c:pt idx="22">
                  <c:v>1.1144000000000001</c:v>
                </c:pt>
              </c:numCache>
            </c:numRef>
          </c:val>
          <c:extLst>
            <c:ext xmlns:c16="http://schemas.microsoft.com/office/drawing/2014/chart" uri="{C3380CC4-5D6E-409C-BE32-E72D297353CC}">
              <c16:uniqueId val="{00000004-3CC8-42DB-9BD6-011E35F59A99}"/>
            </c:ext>
          </c:extLst>
        </c:ser>
        <c:ser>
          <c:idx val="5"/>
          <c:order val="5"/>
          <c:tx>
            <c:strRef>
              <c:f>'Surfaces Aug 2017'!$M$65</c:f>
              <c:strCache>
                <c:ptCount val="1"/>
                <c:pt idx="0">
                  <c:v>-0.5</c:v>
                </c:pt>
              </c:strCache>
            </c:strRef>
          </c:tx>
          <c:cat>
            <c:numRef>
              <c:f>'Surfaces Aug 2017'!$G$66:$G$88</c:f>
              <c:numCache>
                <c:formatCode>General</c:formatCode>
                <c:ptCount val="23"/>
                <c:pt idx="0">
                  <c:v>-5.57</c:v>
                </c:pt>
                <c:pt idx="1">
                  <c:v>-5</c:v>
                </c:pt>
                <c:pt idx="2">
                  <c:v>-4.5</c:v>
                </c:pt>
                <c:pt idx="3">
                  <c:v>-4</c:v>
                </c:pt>
                <c:pt idx="4">
                  <c:v>-3.5</c:v>
                </c:pt>
                <c:pt idx="5">
                  <c:v>-3</c:v>
                </c:pt>
                <c:pt idx="6">
                  <c:v>-2.5</c:v>
                </c:pt>
                <c:pt idx="7">
                  <c:v>-2</c:v>
                </c:pt>
                <c:pt idx="8">
                  <c:v>-1.5</c:v>
                </c:pt>
                <c:pt idx="9">
                  <c:v>-1</c:v>
                </c:pt>
                <c:pt idx="10">
                  <c:v>-0.5</c:v>
                </c:pt>
                <c:pt idx="11">
                  <c:v>0</c:v>
                </c:pt>
                <c:pt idx="12">
                  <c:v>0.5</c:v>
                </c:pt>
                <c:pt idx="13">
                  <c:v>1</c:v>
                </c:pt>
                <c:pt idx="14">
                  <c:v>1.5</c:v>
                </c:pt>
                <c:pt idx="15">
                  <c:v>2</c:v>
                </c:pt>
                <c:pt idx="16">
                  <c:v>2.5</c:v>
                </c:pt>
                <c:pt idx="17">
                  <c:v>3</c:v>
                </c:pt>
                <c:pt idx="18">
                  <c:v>3.5</c:v>
                </c:pt>
                <c:pt idx="19">
                  <c:v>4</c:v>
                </c:pt>
                <c:pt idx="20">
                  <c:v>4.5</c:v>
                </c:pt>
                <c:pt idx="21">
                  <c:v>5</c:v>
                </c:pt>
                <c:pt idx="22">
                  <c:v>5.48</c:v>
                </c:pt>
              </c:numCache>
            </c:numRef>
          </c:cat>
          <c:val>
            <c:numRef>
              <c:f>'Surfaces Aug 2017'!$M$66:$M$88</c:f>
              <c:numCache>
                <c:formatCode>0.00</c:formatCode>
                <c:ptCount val="23"/>
                <c:pt idx="0">
                  <c:v>1.1049500000000001</c:v>
                </c:pt>
                <c:pt idx="1">
                  <c:v>1.085</c:v>
                </c:pt>
                <c:pt idx="2">
                  <c:v>1.0674999999999826</c:v>
                </c:pt>
                <c:pt idx="3">
                  <c:v>1.05</c:v>
                </c:pt>
                <c:pt idx="4">
                  <c:v>1.0325</c:v>
                </c:pt>
                <c:pt idx="5">
                  <c:v>1.0149999999999826</c:v>
                </c:pt>
                <c:pt idx="6">
                  <c:v>0.99749999999999572</c:v>
                </c:pt>
                <c:pt idx="7">
                  <c:v>0.98</c:v>
                </c:pt>
                <c:pt idx="8">
                  <c:v>0.96250000000000002</c:v>
                </c:pt>
                <c:pt idx="9">
                  <c:v>0.94500000000000195</c:v>
                </c:pt>
                <c:pt idx="10">
                  <c:v>0.92749999999999999</c:v>
                </c:pt>
                <c:pt idx="11">
                  <c:v>0.91</c:v>
                </c:pt>
                <c:pt idx="12">
                  <c:v>0.89249999999999996</c:v>
                </c:pt>
                <c:pt idx="13">
                  <c:v>0.87500000000000921</c:v>
                </c:pt>
                <c:pt idx="14">
                  <c:v>0.85750000000000004</c:v>
                </c:pt>
                <c:pt idx="15">
                  <c:v>0.84000000000000319</c:v>
                </c:pt>
                <c:pt idx="16">
                  <c:v>0.82250000000000001</c:v>
                </c:pt>
                <c:pt idx="17">
                  <c:v>0.80500000000000005</c:v>
                </c:pt>
                <c:pt idx="18">
                  <c:v>0.78749999999999998</c:v>
                </c:pt>
                <c:pt idx="19">
                  <c:v>0.77000000000000823</c:v>
                </c:pt>
                <c:pt idx="20">
                  <c:v>0.75250000000000095</c:v>
                </c:pt>
                <c:pt idx="21">
                  <c:v>0.73500000000000321</c:v>
                </c:pt>
                <c:pt idx="22">
                  <c:v>0.71820000000000095</c:v>
                </c:pt>
              </c:numCache>
            </c:numRef>
          </c:val>
          <c:extLst>
            <c:ext xmlns:c16="http://schemas.microsoft.com/office/drawing/2014/chart" uri="{C3380CC4-5D6E-409C-BE32-E72D297353CC}">
              <c16:uniqueId val="{00000005-3CC8-42DB-9BD6-011E35F59A99}"/>
            </c:ext>
          </c:extLst>
        </c:ser>
        <c:ser>
          <c:idx val="6"/>
          <c:order val="6"/>
          <c:tx>
            <c:strRef>
              <c:f>'Surfaces Aug 2017'!$N$65</c:f>
              <c:strCache>
                <c:ptCount val="1"/>
                <c:pt idx="0">
                  <c:v>0</c:v>
                </c:pt>
              </c:strCache>
            </c:strRef>
          </c:tx>
          <c:cat>
            <c:numRef>
              <c:f>'Surfaces Aug 2017'!$G$66:$G$88</c:f>
              <c:numCache>
                <c:formatCode>General</c:formatCode>
                <c:ptCount val="23"/>
                <c:pt idx="0">
                  <c:v>-5.57</c:v>
                </c:pt>
                <c:pt idx="1">
                  <c:v>-5</c:v>
                </c:pt>
                <c:pt idx="2">
                  <c:v>-4.5</c:v>
                </c:pt>
                <c:pt idx="3">
                  <c:v>-4</c:v>
                </c:pt>
                <c:pt idx="4">
                  <c:v>-3.5</c:v>
                </c:pt>
                <c:pt idx="5">
                  <c:v>-3</c:v>
                </c:pt>
                <c:pt idx="6">
                  <c:v>-2.5</c:v>
                </c:pt>
                <c:pt idx="7">
                  <c:v>-2</c:v>
                </c:pt>
                <c:pt idx="8">
                  <c:v>-1.5</c:v>
                </c:pt>
                <c:pt idx="9">
                  <c:v>-1</c:v>
                </c:pt>
                <c:pt idx="10">
                  <c:v>-0.5</c:v>
                </c:pt>
                <c:pt idx="11">
                  <c:v>0</c:v>
                </c:pt>
                <c:pt idx="12">
                  <c:v>0.5</c:v>
                </c:pt>
                <c:pt idx="13">
                  <c:v>1</c:v>
                </c:pt>
                <c:pt idx="14">
                  <c:v>1.5</c:v>
                </c:pt>
                <c:pt idx="15">
                  <c:v>2</c:v>
                </c:pt>
                <c:pt idx="16">
                  <c:v>2.5</c:v>
                </c:pt>
                <c:pt idx="17">
                  <c:v>3</c:v>
                </c:pt>
                <c:pt idx="18">
                  <c:v>3.5</c:v>
                </c:pt>
                <c:pt idx="19">
                  <c:v>4</c:v>
                </c:pt>
                <c:pt idx="20">
                  <c:v>4.5</c:v>
                </c:pt>
                <c:pt idx="21">
                  <c:v>5</c:v>
                </c:pt>
                <c:pt idx="22">
                  <c:v>5.48</c:v>
                </c:pt>
              </c:numCache>
            </c:numRef>
          </c:cat>
          <c:val>
            <c:numRef>
              <c:f>'Surfaces Aug 2017'!$N$66:$N$88</c:f>
              <c:numCache>
                <c:formatCode>0.00</c:formatCode>
                <c:ptCount val="23"/>
                <c:pt idx="0">
                  <c:v>1.4269999999999763</c:v>
                </c:pt>
                <c:pt idx="1">
                  <c:v>1.37</c:v>
                </c:pt>
                <c:pt idx="2">
                  <c:v>1.32</c:v>
                </c:pt>
                <c:pt idx="3">
                  <c:v>1.27</c:v>
                </c:pt>
                <c:pt idx="4">
                  <c:v>1.22</c:v>
                </c:pt>
                <c:pt idx="5">
                  <c:v>1.1700000000000021</c:v>
                </c:pt>
                <c:pt idx="6">
                  <c:v>1.1200000000000001</c:v>
                </c:pt>
                <c:pt idx="7">
                  <c:v>1.07</c:v>
                </c:pt>
                <c:pt idx="8">
                  <c:v>1.02</c:v>
                </c:pt>
                <c:pt idx="9">
                  <c:v>0.9700000000000002</c:v>
                </c:pt>
                <c:pt idx="10">
                  <c:v>0.92</c:v>
                </c:pt>
                <c:pt idx="11">
                  <c:v>0.87000000000000721</c:v>
                </c:pt>
                <c:pt idx="12">
                  <c:v>0.82000000000000195</c:v>
                </c:pt>
                <c:pt idx="13">
                  <c:v>0.77000000000000823</c:v>
                </c:pt>
                <c:pt idx="14">
                  <c:v>0.72000000000000319</c:v>
                </c:pt>
                <c:pt idx="15">
                  <c:v>0.67000000000001125</c:v>
                </c:pt>
                <c:pt idx="16">
                  <c:v>0.62000000000000721</c:v>
                </c:pt>
                <c:pt idx="17">
                  <c:v>0.57000000000000095</c:v>
                </c:pt>
                <c:pt idx="18">
                  <c:v>0.52</c:v>
                </c:pt>
                <c:pt idx="19">
                  <c:v>0.47000000000000008</c:v>
                </c:pt>
                <c:pt idx="20">
                  <c:v>0.4200000000000001</c:v>
                </c:pt>
                <c:pt idx="21">
                  <c:v>0.37000000000000011</c:v>
                </c:pt>
                <c:pt idx="22">
                  <c:v>0.32200000000000412</c:v>
                </c:pt>
              </c:numCache>
            </c:numRef>
          </c:val>
          <c:extLst>
            <c:ext xmlns:c16="http://schemas.microsoft.com/office/drawing/2014/chart" uri="{C3380CC4-5D6E-409C-BE32-E72D297353CC}">
              <c16:uniqueId val="{00000006-3CC8-42DB-9BD6-011E35F59A99}"/>
            </c:ext>
          </c:extLst>
        </c:ser>
        <c:ser>
          <c:idx val="7"/>
          <c:order val="7"/>
          <c:tx>
            <c:strRef>
              <c:f>'Surfaces Aug 2017'!$O$65</c:f>
              <c:strCache>
                <c:ptCount val="1"/>
                <c:pt idx="0">
                  <c:v>0.5</c:v>
                </c:pt>
              </c:strCache>
            </c:strRef>
          </c:tx>
          <c:cat>
            <c:numRef>
              <c:f>'Surfaces Aug 2017'!$G$66:$G$88</c:f>
              <c:numCache>
                <c:formatCode>General</c:formatCode>
                <c:ptCount val="23"/>
                <c:pt idx="0">
                  <c:v>-5.57</c:v>
                </c:pt>
                <c:pt idx="1">
                  <c:v>-5</c:v>
                </c:pt>
                <c:pt idx="2">
                  <c:v>-4.5</c:v>
                </c:pt>
                <c:pt idx="3">
                  <c:v>-4</c:v>
                </c:pt>
                <c:pt idx="4">
                  <c:v>-3.5</c:v>
                </c:pt>
                <c:pt idx="5">
                  <c:v>-3</c:v>
                </c:pt>
                <c:pt idx="6">
                  <c:v>-2.5</c:v>
                </c:pt>
                <c:pt idx="7">
                  <c:v>-2</c:v>
                </c:pt>
                <c:pt idx="8">
                  <c:v>-1.5</c:v>
                </c:pt>
                <c:pt idx="9">
                  <c:v>-1</c:v>
                </c:pt>
                <c:pt idx="10">
                  <c:v>-0.5</c:v>
                </c:pt>
                <c:pt idx="11">
                  <c:v>0</c:v>
                </c:pt>
                <c:pt idx="12">
                  <c:v>0.5</c:v>
                </c:pt>
                <c:pt idx="13">
                  <c:v>1</c:v>
                </c:pt>
                <c:pt idx="14">
                  <c:v>1.5</c:v>
                </c:pt>
                <c:pt idx="15">
                  <c:v>2</c:v>
                </c:pt>
                <c:pt idx="16">
                  <c:v>2.5</c:v>
                </c:pt>
                <c:pt idx="17">
                  <c:v>3</c:v>
                </c:pt>
                <c:pt idx="18">
                  <c:v>3.5</c:v>
                </c:pt>
                <c:pt idx="19">
                  <c:v>4</c:v>
                </c:pt>
                <c:pt idx="20">
                  <c:v>4.5</c:v>
                </c:pt>
                <c:pt idx="21">
                  <c:v>5</c:v>
                </c:pt>
                <c:pt idx="22">
                  <c:v>5.48</c:v>
                </c:pt>
              </c:numCache>
            </c:numRef>
          </c:cat>
          <c:val>
            <c:numRef>
              <c:f>'Surfaces Aug 2017'!$O$66:$O$88</c:f>
              <c:numCache>
                <c:formatCode>0.00</c:formatCode>
                <c:ptCount val="23"/>
                <c:pt idx="0">
                  <c:v>1.74905</c:v>
                </c:pt>
                <c:pt idx="1">
                  <c:v>1.655</c:v>
                </c:pt>
                <c:pt idx="2">
                  <c:v>1.5725</c:v>
                </c:pt>
                <c:pt idx="3">
                  <c:v>1.49</c:v>
                </c:pt>
                <c:pt idx="4">
                  <c:v>1.4074999999999713</c:v>
                </c:pt>
                <c:pt idx="5">
                  <c:v>1.325</c:v>
                </c:pt>
                <c:pt idx="6">
                  <c:v>1.2424999999999846</c:v>
                </c:pt>
                <c:pt idx="7">
                  <c:v>1.1599999999999866</c:v>
                </c:pt>
                <c:pt idx="8">
                  <c:v>1.0774999999999826</c:v>
                </c:pt>
                <c:pt idx="9">
                  <c:v>0.995</c:v>
                </c:pt>
                <c:pt idx="10">
                  <c:v>0.91249999999999998</c:v>
                </c:pt>
                <c:pt idx="11">
                  <c:v>0.83000000000000318</c:v>
                </c:pt>
                <c:pt idx="12">
                  <c:v>0.74750000000000005</c:v>
                </c:pt>
                <c:pt idx="13">
                  <c:v>0.66500000000001025</c:v>
                </c:pt>
                <c:pt idx="14">
                  <c:v>0.5824999999999998</c:v>
                </c:pt>
                <c:pt idx="15">
                  <c:v>0.5</c:v>
                </c:pt>
                <c:pt idx="16">
                  <c:v>0.41750000000000009</c:v>
                </c:pt>
                <c:pt idx="17">
                  <c:v>0.33500000000000413</c:v>
                </c:pt>
                <c:pt idx="18">
                  <c:v>0.2525</c:v>
                </c:pt>
                <c:pt idx="19">
                  <c:v>0.17</c:v>
                </c:pt>
                <c:pt idx="20">
                  <c:v>8.7500000000000008E-2</c:v>
                </c:pt>
                <c:pt idx="21">
                  <c:v>5.0000000000000114E-3</c:v>
                </c:pt>
                <c:pt idx="22">
                  <c:v>-7.4200000000000099E-2</c:v>
                </c:pt>
              </c:numCache>
            </c:numRef>
          </c:val>
          <c:extLst>
            <c:ext xmlns:c16="http://schemas.microsoft.com/office/drawing/2014/chart" uri="{C3380CC4-5D6E-409C-BE32-E72D297353CC}">
              <c16:uniqueId val="{00000007-3CC8-42DB-9BD6-011E35F59A99}"/>
            </c:ext>
          </c:extLst>
        </c:ser>
        <c:ser>
          <c:idx val="8"/>
          <c:order val="8"/>
          <c:tx>
            <c:strRef>
              <c:f>'Surfaces Aug 2017'!$P$65</c:f>
              <c:strCache>
                <c:ptCount val="1"/>
                <c:pt idx="0">
                  <c:v>1</c:v>
                </c:pt>
              </c:strCache>
            </c:strRef>
          </c:tx>
          <c:cat>
            <c:numRef>
              <c:f>'Surfaces Aug 2017'!$G$66:$G$88</c:f>
              <c:numCache>
                <c:formatCode>General</c:formatCode>
                <c:ptCount val="23"/>
                <c:pt idx="0">
                  <c:v>-5.57</c:v>
                </c:pt>
                <c:pt idx="1">
                  <c:v>-5</c:v>
                </c:pt>
                <c:pt idx="2">
                  <c:v>-4.5</c:v>
                </c:pt>
                <c:pt idx="3">
                  <c:v>-4</c:v>
                </c:pt>
                <c:pt idx="4">
                  <c:v>-3.5</c:v>
                </c:pt>
                <c:pt idx="5">
                  <c:v>-3</c:v>
                </c:pt>
                <c:pt idx="6">
                  <c:v>-2.5</c:v>
                </c:pt>
                <c:pt idx="7">
                  <c:v>-2</c:v>
                </c:pt>
                <c:pt idx="8">
                  <c:v>-1.5</c:v>
                </c:pt>
                <c:pt idx="9">
                  <c:v>-1</c:v>
                </c:pt>
                <c:pt idx="10">
                  <c:v>-0.5</c:v>
                </c:pt>
                <c:pt idx="11">
                  <c:v>0</c:v>
                </c:pt>
                <c:pt idx="12">
                  <c:v>0.5</c:v>
                </c:pt>
                <c:pt idx="13">
                  <c:v>1</c:v>
                </c:pt>
                <c:pt idx="14">
                  <c:v>1.5</c:v>
                </c:pt>
                <c:pt idx="15">
                  <c:v>2</c:v>
                </c:pt>
                <c:pt idx="16">
                  <c:v>2.5</c:v>
                </c:pt>
                <c:pt idx="17">
                  <c:v>3</c:v>
                </c:pt>
                <c:pt idx="18">
                  <c:v>3.5</c:v>
                </c:pt>
                <c:pt idx="19">
                  <c:v>4</c:v>
                </c:pt>
                <c:pt idx="20">
                  <c:v>4.5</c:v>
                </c:pt>
                <c:pt idx="21">
                  <c:v>5</c:v>
                </c:pt>
                <c:pt idx="22">
                  <c:v>5.48</c:v>
                </c:pt>
              </c:numCache>
            </c:numRef>
          </c:cat>
          <c:val>
            <c:numRef>
              <c:f>'Surfaces Aug 2017'!$P$66:$P$88</c:f>
              <c:numCache>
                <c:formatCode>0.00</c:formatCode>
                <c:ptCount val="23"/>
                <c:pt idx="0">
                  <c:v>2.0710999999999977</c:v>
                </c:pt>
                <c:pt idx="1">
                  <c:v>1.9400000000000155</c:v>
                </c:pt>
                <c:pt idx="2">
                  <c:v>1.825</c:v>
                </c:pt>
                <c:pt idx="3">
                  <c:v>1.71</c:v>
                </c:pt>
                <c:pt idx="4">
                  <c:v>1.595</c:v>
                </c:pt>
                <c:pt idx="5">
                  <c:v>1.48</c:v>
                </c:pt>
                <c:pt idx="6">
                  <c:v>1.365</c:v>
                </c:pt>
                <c:pt idx="7">
                  <c:v>1.25</c:v>
                </c:pt>
                <c:pt idx="8">
                  <c:v>1.135</c:v>
                </c:pt>
                <c:pt idx="9">
                  <c:v>1.02</c:v>
                </c:pt>
                <c:pt idx="10">
                  <c:v>0.90500000000000003</c:v>
                </c:pt>
                <c:pt idx="11">
                  <c:v>0.79</c:v>
                </c:pt>
                <c:pt idx="12">
                  <c:v>0.67500000000001126</c:v>
                </c:pt>
                <c:pt idx="13">
                  <c:v>0.56000000000000005</c:v>
                </c:pt>
                <c:pt idx="14">
                  <c:v>0.44500000000000001</c:v>
                </c:pt>
                <c:pt idx="15">
                  <c:v>0.33000000000000412</c:v>
                </c:pt>
                <c:pt idx="16">
                  <c:v>0.21500000000000005</c:v>
                </c:pt>
                <c:pt idx="17">
                  <c:v>0.1</c:v>
                </c:pt>
                <c:pt idx="18">
                  <c:v>-1.4999999999999998E-2</c:v>
                </c:pt>
                <c:pt idx="19">
                  <c:v>-0.13</c:v>
                </c:pt>
                <c:pt idx="20">
                  <c:v>-0.24500000000000005</c:v>
                </c:pt>
                <c:pt idx="21">
                  <c:v>-0.3600000000000001</c:v>
                </c:pt>
                <c:pt idx="22">
                  <c:v>-0.4704000000000001</c:v>
                </c:pt>
              </c:numCache>
            </c:numRef>
          </c:val>
          <c:extLst>
            <c:ext xmlns:c16="http://schemas.microsoft.com/office/drawing/2014/chart" uri="{C3380CC4-5D6E-409C-BE32-E72D297353CC}">
              <c16:uniqueId val="{00000008-3CC8-42DB-9BD6-011E35F59A99}"/>
            </c:ext>
          </c:extLst>
        </c:ser>
        <c:ser>
          <c:idx val="9"/>
          <c:order val="9"/>
          <c:tx>
            <c:strRef>
              <c:f>'Surfaces Aug 2017'!$Q$65</c:f>
              <c:strCache>
                <c:ptCount val="1"/>
                <c:pt idx="0">
                  <c:v>1.5</c:v>
                </c:pt>
              </c:strCache>
            </c:strRef>
          </c:tx>
          <c:cat>
            <c:numRef>
              <c:f>'Surfaces Aug 2017'!$G$66:$G$88</c:f>
              <c:numCache>
                <c:formatCode>General</c:formatCode>
                <c:ptCount val="23"/>
                <c:pt idx="0">
                  <c:v>-5.57</c:v>
                </c:pt>
                <c:pt idx="1">
                  <c:v>-5</c:v>
                </c:pt>
                <c:pt idx="2">
                  <c:v>-4.5</c:v>
                </c:pt>
                <c:pt idx="3">
                  <c:v>-4</c:v>
                </c:pt>
                <c:pt idx="4">
                  <c:v>-3.5</c:v>
                </c:pt>
                <c:pt idx="5">
                  <c:v>-3</c:v>
                </c:pt>
                <c:pt idx="6">
                  <c:v>-2.5</c:v>
                </c:pt>
                <c:pt idx="7">
                  <c:v>-2</c:v>
                </c:pt>
                <c:pt idx="8">
                  <c:v>-1.5</c:v>
                </c:pt>
                <c:pt idx="9">
                  <c:v>-1</c:v>
                </c:pt>
                <c:pt idx="10">
                  <c:v>-0.5</c:v>
                </c:pt>
                <c:pt idx="11">
                  <c:v>0</c:v>
                </c:pt>
                <c:pt idx="12">
                  <c:v>0.5</c:v>
                </c:pt>
                <c:pt idx="13">
                  <c:v>1</c:v>
                </c:pt>
                <c:pt idx="14">
                  <c:v>1.5</c:v>
                </c:pt>
                <c:pt idx="15">
                  <c:v>2</c:v>
                </c:pt>
                <c:pt idx="16">
                  <c:v>2.5</c:v>
                </c:pt>
                <c:pt idx="17">
                  <c:v>3</c:v>
                </c:pt>
                <c:pt idx="18">
                  <c:v>3.5</c:v>
                </c:pt>
                <c:pt idx="19">
                  <c:v>4</c:v>
                </c:pt>
                <c:pt idx="20">
                  <c:v>4.5</c:v>
                </c:pt>
                <c:pt idx="21">
                  <c:v>5</c:v>
                </c:pt>
                <c:pt idx="22">
                  <c:v>5.48</c:v>
                </c:pt>
              </c:numCache>
            </c:numRef>
          </c:cat>
          <c:val>
            <c:numRef>
              <c:f>'Surfaces Aug 2017'!$Q$66:$Q$88</c:f>
              <c:numCache>
                <c:formatCode>0.00</c:formatCode>
                <c:ptCount val="23"/>
                <c:pt idx="0">
                  <c:v>2.3931499999999977</c:v>
                </c:pt>
                <c:pt idx="1">
                  <c:v>2.2250000000000001</c:v>
                </c:pt>
                <c:pt idx="2">
                  <c:v>2.0775000000000001</c:v>
                </c:pt>
                <c:pt idx="3">
                  <c:v>1.9300000000000141</c:v>
                </c:pt>
                <c:pt idx="4">
                  <c:v>1.7825</c:v>
                </c:pt>
                <c:pt idx="5">
                  <c:v>1.635</c:v>
                </c:pt>
                <c:pt idx="6">
                  <c:v>1.4874999999999754</c:v>
                </c:pt>
                <c:pt idx="7">
                  <c:v>1.34</c:v>
                </c:pt>
                <c:pt idx="8">
                  <c:v>1.1924999999999999</c:v>
                </c:pt>
                <c:pt idx="9">
                  <c:v>1.0449999999999835</c:v>
                </c:pt>
                <c:pt idx="10">
                  <c:v>0.89749999999999996</c:v>
                </c:pt>
                <c:pt idx="11">
                  <c:v>0.75000000000000722</c:v>
                </c:pt>
                <c:pt idx="12">
                  <c:v>0.60250000000000004</c:v>
                </c:pt>
                <c:pt idx="13">
                  <c:v>0.45500000000000002</c:v>
                </c:pt>
                <c:pt idx="14">
                  <c:v>0.30750000000000011</c:v>
                </c:pt>
                <c:pt idx="15">
                  <c:v>0.16</c:v>
                </c:pt>
                <c:pt idx="16">
                  <c:v>1.2500000000000001E-2</c:v>
                </c:pt>
                <c:pt idx="17">
                  <c:v>-0.13500000000000001</c:v>
                </c:pt>
                <c:pt idx="18">
                  <c:v>-0.28250000000000008</c:v>
                </c:pt>
                <c:pt idx="19">
                  <c:v>-0.4300000000000001</c:v>
                </c:pt>
                <c:pt idx="20">
                  <c:v>-0.57750000000000001</c:v>
                </c:pt>
                <c:pt idx="21">
                  <c:v>-0.7250000000000032</c:v>
                </c:pt>
                <c:pt idx="22">
                  <c:v>-0.86660000000001125</c:v>
                </c:pt>
              </c:numCache>
            </c:numRef>
          </c:val>
          <c:extLst>
            <c:ext xmlns:c16="http://schemas.microsoft.com/office/drawing/2014/chart" uri="{C3380CC4-5D6E-409C-BE32-E72D297353CC}">
              <c16:uniqueId val="{00000009-3CC8-42DB-9BD6-011E35F59A99}"/>
            </c:ext>
          </c:extLst>
        </c:ser>
        <c:ser>
          <c:idx val="10"/>
          <c:order val="10"/>
          <c:tx>
            <c:strRef>
              <c:f>'Surfaces Aug 2017'!$R$65</c:f>
              <c:strCache>
                <c:ptCount val="1"/>
                <c:pt idx="0">
                  <c:v>2.11</c:v>
                </c:pt>
              </c:strCache>
            </c:strRef>
          </c:tx>
          <c:cat>
            <c:numRef>
              <c:f>'Surfaces Aug 2017'!$G$66:$G$88</c:f>
              <c:numCache>
                <c:formatCode>General</c:formatCode>
                <c:ptCount val="23"/>
                <c:pt idx="0">
                  <c:v>-5.57</c:v>
                </c:pt>
                <c:pt idx="1">
                  <c:v>-5</c:v>
                </c:pt>
                <c:pt idx="2">
                  <c:v>-4.5</c:v>
                </c:pt>
                <c:pt idx="3">
                  <c:v>-4</c:v>
                </c:pt>
                <c:pt idx="4">
                  <c:v>-3.5</c:v>
                </c:pt>
                <c:pt idx="5">
                  <c:v>-3</c:v>
                </c:pt>
                <c:pt idx="6">
                  <c:v>-2.5</c:v>
                </c:pt>
                <c:pt idx="7">
                  <c:v>-2</c:v>
                </c:pt>
                <c:pt idx="8">
                  <c:v>-1.5</c:v>
                </c:pt>
                <c:pt idx="9">
                  <c:v>-1</c:v>
                </c:pt>
                <c:pt idx="10">
                  <c:v>-0.5</c:v>
                </c:pt>
                <c:pt idx="11">
                  <c:v>0</c:v>
                </c:pt>
                <c:pt idx="12">
                  <c:v>0.5</c:v>
                </c:pt>
                <c:pt idx="13">
                  <c:v>1</c:v>
                </c:pt>
                <c:pt idx="14">
                  <c:v>1.5</c:v>
                </c:pt>
                <c:pt idx="15">
                  <c:v>2</c:v>
                </c:pt>
                <c:pt idx="16">
                  <c:v>2.5</c:v>
                </c:pt>
                <c:pt idx="17">
                  <c:v>3</c:v>
                </c:pt>
                <c:pt idx="18">
                  <c:v>3.5</c:v>
                </c:pt>
                <c:pt idx="19">
                  <c:v>4</c:v>
                </c:pt>
                <c:pt idx="20">
                  <c:v>4.5</c:v>
                </c:pt>
                <c:pt idx="21">
                  <c:v>5</c:v>
                </c:pt>
                <c:pt idx="22">
                  <c:v>5.48</c:v>
                </c:pt>
              </c:numCache>
            </c:numRef>
          </c:cat>
          <c:val>
            <c:numRef>
              <c:f>'Surfaces Aug 2017'!$R$66:$R$88</c:f>
              <c:numCache>
                <c:formatCode>0.00</c:formatCode>
                <c:ptCount val="23"/>
                <c:pt idx="0">
                  <c:v>2.7860510000000001</c:v>
                </c:pt>
                <c:pt idx="1">
                  <c:v>2.5726999999999967</c:v>
                </c:pt>
                <c:pt idx="2">
                  <c:v>2.3855499999999967</c:v>
                </c:pt>
                <c:pt idx="3">
                  <c:v>2.1983999999999999</c:v>
                </c:pt>
                <c:pt idx="4">
                  <c:v>2.0112499999999418</c:v>
                </c:pt>
                <c:pt idx="5">
                  <c:v>1.8241000000000001</c:v>
                </c:pt>
                <c:pt idx="6">
                  <c:v>1.6369499999999999</c:v>
                </c:pt>
                <c:pt idx="7">
                  <c:v>1.4497999999999713</c:v>
                </c:pt>
                <c:pt idx="8">
                  <c:v>1.2626500000000001</c:v>
                </c:pt>
                <c:pt idx="9">
                  <c:v>1.0754999999999826</c:v>
                </c:pt>
                <c:pt idx="10">
                  <c:v>0.88834999999999997</c:v>
                </c:pt>
                <c:pt idx="11">
                  <c:v>0.70120000000000005</c:v>
                </c:pt>
                <c:pt idx="12">
                  <c:v>0.51405000000000001</c:v>
                </c:pt>
                <c:pt idx="13">
                  <c:v>0.32690000000000413</c:v>
                </c:pt>
                <c:pt idx="14">
                  <c:v>0.13975000000000001</c:v>
                </c:pt>
                <c:pt idx="15">
                  <c:v>-4.7400000000000102E-2</c:v>
                </c:pt>
                <c:pt idx="16">
                  <c:v>-0.23455000000000001</c:v>
                </c:pt>
                <c:pt idx="17">
                  <c:v>-0.42170000000000002</c:v>
                </c:pt>
                <c:pt idx="18">
                  <c:v>-0.60885000000000622</c:v>
                </c:pt>
                <c:pt idx="19">
                  <c:v>-0.79600000000000004</c:v>
                </c:pt>
                <c:pt idx="20">
                  <c:v>-0.98314999999999997</c:v>
                </c:pt>
                <c:pt idx="21">
                  <c:v>-1.1702999999999999</c:v>
                </c:pt>
                <c:pt idx="22">
                  <c:v>-1.3499639999999835</c:v>
                </c:pt>
              </c:numCache>
            </c:numRef>
          </c:val>
          <c:extLst>
            <c:ext xmlns:c16="http://schemas.microsoft.com/office/drawing/2014/chart" uri="{C3380CC4-5D6E-409C-BE32-E72D297353CC}">
              <c16:uniqueId val="{0000000A-3CC8-42DB-9BD6-011E35F59A99}"/>
            </c:ext>
          </c:extLst>
        </c:ser>
        <c:bandFmts/>
        <c:axId val="79903744"/>
        <c:axId val="79922304"/>
        <c:axId val="79893824"/>
      </c:surface3DChart>
      <c:catAx>
        <c:axId val="79903744"/>
        <c:scaling>
          <c:orientation val="minMax"/>
        </c:scaling>
        <c:delete val="0"/>
        <c:axPos val="b"/>
        <c:title>
          <c:tx>
            <c:rich>
              <a:bodyPr rot="420000" vert="horz"/>
              <a:lstStyle/>
              <a:p>
                <a:pPr>
                  <a:defRPr sz="900">
                    <a:latin typeface="Times New Roman" pitchFamily="18" charset="0"/>
                    <a:cs typeface="Times New Roman" pitchFamily="18" charset="0"/>
                  </a:defRPr>
                </a:pPr>
                <a:r>
                  <a:rPr lang="en-US" sz="900">
                    <a:latin typeface="Times New Roman" pitchFamily="18" charset="0"/>
                    <a:cs typeface="Times New Roman" pitchFamily="18" charset="0"/>
                  </a:rPr>
                  <a:t>Initial Reseller </a:t>
                </a:r>
                <a:r>
                  <a:rPr lang="en-US" sz="900" b="1" i="0" u="none" strike="noStrike" kern="1200" baseline="0">
                    <a:solidFill>
                      <a:sysClr val="windowText" lastClr="000000"/>
                    </a:solidFill>
                    <a:latin typeface="Times New Roman" pitchFamily="18" charset="0"/>
                    <a:ea typeface="+mn-ea"/>
                    <a:cs typeface="Times New Roman" pitchFamily="18" charset="0"/>
                  </a:rPr>
                  <a:t>Selection Efforts</a:t>
                </a:r>
                <a:r>
                  <a:rPr lang="en-US" sz="900">
                    <a:latin typeface="Times New Roman" pitchFamily="18" charset="0"/>
                    <a:cs typeface="Times New Roman" pitchFamily="18" charset="0"/>
                  </a:rPr>
                  <a:t>, SSELT1</a:t>
                </a:r>
              </a:p>
            </c:rich>
          </c:tx>
          <c:layout>
            <c:manualLayout>
              <c:xMode val="edge"/>
              <c:yMode val="edge"/>
              <c:x val="0.11960347920689904"/>
              <c:y val="0.79064332415851124"/>
            </c:manualLayout>
          </c:layout>
          <c:overlay val="0"/>
        </c:title>
        <c:numFmt formatCode="#,##0.00" sourceLinked="0"/>
        <c:majorTickMark val="in"/>
        <c:minorTickMark val="none"/>
        <c:tickLblPos val="low"/>
        <c:txPr>
          <a:bodyPr rot="0" vert="horz"/>
          <a:lstStyle/>
          <a:p>
            <a:pPr>
              <a:defRPr sz="800">
                <a:latin typeface="Times New Roman" pitchFamily="18" charset="0"/>
                <a:cs typeface="Times New Roman" pitchFamily="18" charset="0"/>
              </a:defRPr>
            </a:pPr>
            <a:endParaRPr lang="nb-NO"/>
          </a:p>
        </c:txPr>
        <c:crossAx val="79922304"/>
        <c:crosses val="autoZero"/>
        <c:auto val="1"/>
        <c:lblAlgn val="ctr"/>
        <c:lblOffset val="100"/>
        <c:tickLblSkip val="4"/>
        <c:tickMarkSkip val="4"/>
        <c:noMultiLvlLbl val="0"/>
      </c:catAx>
      <c:valAx>
        <c:axId val="79922304"/>
        <c:scaling>
          <c:orientation val="minMax"/>
        </c:scaling>
        <c:delete val="0"/>
        <c:axPos val="l"/>
        <c:majorGridlines/>
        <c:title>
          <c:tx>
            <c:rich>
              <a:bodyPr rot="-5400000" vert="horz"/>
              <a:lstStyle/>
              <a:p>
                <a:pPr>
                  <a:defRPr sz="900">
                    <a:latin typeface="Times New Roman" pitchFamily="18" charset="0"/>
                    <a:cs typeface="Times New Roman" pitchFamily="18" charset="0"/>
                  </a:defRPr>
                </a:pPr>
                <a:r>
                  <a:rPr lang="en-US" sz="900">
                    <a:latin typeface="Times New Roman" pitchFamily="18" charset="0"/>
                    <a:cs typeface="Times New Roman" pitchFamily="18" charset="0"/>
                  </a:rPr>
                  <a:t>Slope of Incremental Investments on Ex Post Transaction Costs  </a:t>
                </a:r>
              </a:p>
            </c:rich>
          </c:tx>
          <c:layout>
            <c:manualLayout>
              <c:xMode val="edge"/>
              <c:yMode val="edge"/>
              <c:x val="4.2184749327858701E-3"/>
              <c:y val="8.8332746516441504E-2"/>
            </c:manualLayout>
          </c:layout>
          <c:overlay val="0"/>
        </c:title>
        <c:numFmt formatCode="0.00" sourceLinked="1"/>
        <c:majorTickMark val="out"/>
        <c:minorTickMark val="none"/>
        <c:tickLblPos val="nextTo"/>
        <c:txPr>
          <a:bodyPr rot="0" vert="horz"/>
          <a:lstStyle/>
          <a:p>
            <a:pPr>
              <a:defRPr sz="800">
                <a:latin typeface="Times New Roman" pitchFamily="18" charset="0"/>
                <a:cs typeface="Times New Roman" pitchFamily="18" charset="0"/>
              </a:defRPr>
            </a:pPr>
            <a:endParaRPr lang="nb-NO"/>
          </a:p>
        </c:txPr>
        <c:crossAx val="79903744"/>
        <c:crosses val="autoZero"/>
        <c:crossBetween val="midCat"/>
      </c:valAx>
      <c:serAx>
        <c:axId val="79893824"/>
        <c:scaling>
          <c:orientation val="minMax"/>
        </c:scaling>
        <c:delete val="0"/>
        <c:axPos val="b"/>
        <c:title>
          <c:tx>
            <c:rich>
              <a:bodyPr rot="-1080000" vert="horz"/>
              <a:lstStyle/>
              <a:p>
                <a:pPr>
                  <a:defRPr sz="900">
                    <a:latin typeface="Times New Roman" pitchFamily="18" charset="0"/>
                    <a:cs typeface="Times New Roman" pitchFamily="18" charset="0"/>
                  </a:defRPr>
                </a:pPr>
                <a:r>
                  <a:rPr lang="en-US" sz="900">
                    <a:latin typeface="Times New Roman" pitchFamily="18" charset="0"/>
                    <a:cs typeface="Times New Roman" pitchFamily="18" charset="0"/>
                  </a:rPr>
                  <a:t>Mutual Asymmetric Investments, INVDIFF</a:t>
                </a:r>
              </a:p>
            </c:rich>
          </c:tx>
          <c:layout>
            <c:manualLayout>
              <c:xMode val="edge"/>
              <c:yMode val="edge"/>
              <c:x val="0.63004711069974728"/>
              <c:y val="0.71567965330366745"/>
            </c:manualLayout>
          </c:layout>
          <c:overlay val="0"/>
        </c:title>
        <c:numFmt formatCode="#,##0.00" sourceLinked="0"/>
        <c:majorTickMark val="in"/>
        <c:minorTickMark val="none"/>
        <c:tickLblPos val="low"/>
        <c:txPr>
          <a:bodyPr rot="0" vert="horz"/>
          <a:lstStyle/>
          <a:p>
            <a:pPr>
              <a:defRPr sz="800">
                <a:latin typeface="Times New Roman" pitchFamily="18" charset="0"/>
                <a:cs typeface="Times New Roman" pitchFamily="18" charset="0"/>
              </a:defRPr>
            </a:pPr>
            <a:endParaRPr lang="nb-NO"/>
          </a:p>
        </c:txPr>
        <c:crossAx val="79922304"/>
        <c:crosses val="autoZero"/>
        <c:tickLblSkip val="2"/>
        <c:tickMarkSkip val="2"/>
      </c:serAx>
    </c:plotArea>
    <c:legend>
      <c:legendPos val="b"/>
      <c:legendEntry>
        <c:idx val="0"/>
        <c:txPr>
          <a:bodyPr/>
          <a:lstStyle/>
          <a:p>
            <a:pPr algn="just" rtl="0">
              <a:defRPr sz="700">
                <a:latin typeface="Times New Roman" pitchFamily="18" charset="0"/>
                <a:cs typeface="Times New Roman" pitchFamily="18" charset="0"/>
              </a:defRPr>
            </a:pPr>
            <a:endParaRPr lang="nb-NO"/>
          </a:p>
        </c:txPr>
      </c:legendEntry>
      <c:legendEntry>
        <c:idx val="1"/>
        <c:txPr>
          <a:bodyPr/>
          <a:lstStyle/>
          <a:p>
            <a:pPr algn="just" rtl="0">
              <a:defRPr sz="700">
                <a:latin typeface="Times New Roman" pitchFamily="18" charset="0"/>
                <a:cs typeface="Times New Roman" pitchFamily="18" charset="0"/>
              </a:defRPr>
            </a:pPr>
            <a:endParaRPr lang="nb-NO"/>
          </a:p>
        </c:txPr>
      </c:legendEntry>
      <c:layout>
        <c:manualLayout>
          <c:xMode val="edge"/>
          <c:yMode val="edge"/>
          <c:x val="0.90134149797465601"/>
          <c:y val="2.4468557183980798E-2"/>
          <c:w val="8.800610853140485E-2"/>
          <c:h val="0.33842900477047122"/>
        </c:manualLayout>
      </c:layout>
      <c:overlay val="0"/>
      <c:spPr>
        <a:ln>
          <a:solidFill>
            <a:schemeClr val="bg1">
              <a:lumMod val="65000"/>
            </a:schemeClr>
          </a:solidFill>
        </a:ln>
      </c:spPr>
      <c:txPr>
        <a:bodyPr/>
        <a:lstStyle/>
        <a:p>
          <a:pPr algn="just" rtl="0">
            <a:defRPr sz="700">
              <a:latin typeface="Times New Roman" pitchFamily="18" charset="0"/>
              <a:cs typeface="Times New Roman" pitchFamily="18" charset="0"/>
            </a:defRPr>
          </a:pPr>
          <a:endParaRPr lang="nb-NO"/>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490541037443736E-2"/>
          <c:y val="4.1583432907462504E-2"/>
          <c:w val="0.81770369736392623"/>
          <c:h val="0.87882007210190138"/>
        </c:manualLayout>
      </c:layout>
      <c:scatterChart>
        <c:scatterStyle val="lineMarker"/>
        <c:varyColors val="0"/>
        <c:ser>
          <c:idx val="0"/>
          <c:order val="0"/>
          <c:tx>
            <c:v>Min. Qual.</c:v>
          </c:tx>
          <c:spPr>
            <a:ln>
              <a:solidFill>
                <a:srgbClr val="00B050"/>
              </a:solidFill>
            </a:ln>
          </c:spPr>
          <c:marker>
            <c:symbol val="none"/>
          </c:marker>
          <c:dLbls>
            <c:dLbl>
              <c:idx val="1"/>
              <c:layout>
                <c:manualLayout>
                  <c:x val="-2.00803212851406E-2"/>
                  <c:y val="3.17185697808535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008-4555-8C36-8E168A04FDC2}"/>
                </c:ext>
              </c:extLst>
            </c:dLbl>
            <c:numFmt formatCode="#.00" sourceLinked="0"/>
            <c:spPr>
              <a:noFill/>
              <a:ln>
                <a:noFill/>
              </a:ln>
              <a:effectLst/>
            </c:spPr>
            <c:txPr>
              <a:bodyPr rot="0" vert="horz"/>
              <a:lstStyle/>
              <a:p>
                <a:pPr>
                  <a:defRPr sz="800">
                    <a:latin typeface="Times New Roman" pitchFamily="18" charset="0"/>
                    <a:cs typeface="Times New Roman" pitchFamily="18" charset="0"/>
                  </a:defRPr>
                </a:pPr>
                <a:endParaRPr lang="nb-NO"/>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'slope Aug 2017'!$Q$2:$Q$6</c:f>
              <c:numCache>
                <c:formatCode>0.00</c:formatCode>
                <c:ptCount val="5"/>
                <c:pt idx="0">
                  <c:v>-3.01</c:v>
                </c:pt>
                <c:pt idx="1">
                  <c:v>-0.91</c:v>
                </c:pt>
                <c:pt idx="2">
                  <c:v>0</c:v>
                </c:pt>
                <c:pt idx="3">
                  <c:v>0.91</c:v>
                </c:pt>
                <c:pt idx="4">
                  <c:v>2.12</c:v>
                </c:pt>
              </c:numCache>
            </c:numRef>
          </c:xVal>
          <c:yVal>
            <c:numRef>
              <c:f>'slope Aug 2017'!$R$2:$R$6</c:f>
              <c:numCache>
                <c:formatCode>0.00</c:formatCode>
                <c:ptCount val="5"/>
                <c:pt idx="0">
                  <c:v>-0.51</c:v>
                </c:pt>
                <c:pt idx="1">
                  <c:v>0.84000000000000119</c:v>
                </c:pt>
                <c:pt idx="2">
                  <c:v>1.43</c:v>
                </c:pt>
                <c:pt idx="3">
                  <c:v>2.0099999999999998</c:v>
                </c:pt>
                <c:pt idx="4">
                  <c:v>2.79</c:v>
                </c:pt>
              </c:numCache>
            </c:numRef>
          </c:yVal>
          <c:smooth val="0"/>
          <c:extLst>
            <c:ext xmlns:c16="http://schemas.microsoft.com/office/drawing/2014/chart" uri="{C3380CC4-5D6E-409C-BE32-E72D297353CC}">
              <c16:uniqueId val="{00000001-9008-4555-8C36-8E168A04FDC2}"/>
            </c:ext>
          </c:extLst>
        </c:ser>
        <c:ser>
          <c:idx val="1"/>
          <c:order val="1"/>
          <c:tx>
            <c:v>-1 SD Qual.</c:v>
          </c:tx>
          <c:spPr>
            <a:ln>
              <a:solidFill>
                <a:srgbClr val="FF0000"/>
              </a:solidFill>
            </a:ln>
          </c:spPr>
          <c:marker>
            <c:symbol val="none"/>
          </c:marker>
          <c:dLbls>
            <c:dLbl>
              <c:idx val="1"/>
              <c:layout>
                <c:manualLayout>
                  <c:x val="-5.1874163319946404E-2"/>
                  <c:y val="1.73010380622837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08-4555-8C36-8E168A04FDC2}"/>
                </c:ext>
              </c:extLst>
            </c:dLbl>
            <c:numFmt formatCode="#.00" sourceLinked="0"/>
            <c:spPr>
              <a:noFill/>
              <a:ln>
                <a:noFill/>
              </a:ln>
              <a:effectLst/>
            </c:spPr>
            <c:txPr>
              <a:bodyPr rot="0" vert="horz"/>
              <a:lstStyle/>
              <a:p>
                <a:pPr>
                  <a:defRPr sz="800">
                    <a:latin typeface="Times New Roman" pitchFamily="18" charset="0"/>
                    <a:cs typeface="Times New Roman" pitchFamily="18" charset="0"/>
                  </a:defRPr>
                </a:pPr>
                <a:endParaRPr lang="nb-NO"/>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'slope Aug 2017'!$Q$2:$Q$6</c:f>
              <c:numCache>
                <c:formatCode>0.00</c:formatCode>
                <c:ptCount val="5"/>
                <c:pt idx="0">
                  <c:v>-3.01</c:v>
                </c:pt>
                <c:pt idx="1">
                  <c:v>-0.91</c:v>
                </c:pt>
                <c:pt idx="2">
                  <c:v>0</c:v>
                </c:pt>
                <c:pt idx="3">
                  <c:v>0.91</c:v>
                </c:pt>
                <c:pt idx="4">
                  <c:v>2.12</c:v>
                </c:pt>
              </c:numCache>
            </c:numRef>
          </c:xVal>
          <c:yVal>
            <c:numRef>
              <c:f>'slope Aug 2017'!$S$2:$S$6</c:f>
              <c:numCache>
                <c:formatCode>0.00</c:formatCode>
                <c:ptCount val="5"/>
                <c:pt idx="0">
                  <c:v>0.3000000000000001</c:v>
                </c:pt>
                <c:pt idx="1">
                  <c:v>0.89</c:v>
                </c:pt>
                <c:pt idx="2">
                  <c:v>1.1499999999999906</c:v>
                </c:pt>
                <c:pt idx="3">
                  <c:v>1.4</c:v>
                </c:pt>
                <c:pt idx="4">
                  <c:v>1.74</c:v>
                </c:pt>
              </c:numCache>
            </c:numRef>
          </c:yVal>
          <c:smooth val="0"/>
          <c:extLst>
            <c:ext xmlns:c16="http://schemas.microsoft.com/office/drawing/2014/chart" uri="{C3380CC4-5D6E-409C-BE32-E72D297353CC}">
              <c16:uniqueId val="{00000003-9008-4555-8C36-8E168A04FDC2}"/>
            </c:ext>
          </c:extLst>
        </c:ser>
        <c:ser>
          <c:idx val="2"/>
          <c:order val="2"/>
          <c:tx>
            <c:v>Mean Qual</c:v>
          </c:tx>
          <c:marker>
            <c:symbol val="none"/>
          </c:marker>
          <c:dLbls>
            <c:dLbl>
              <c:idx val="1"/>
              <c:layout>
                <c:manualLayout>
                  <c:x val="-5.3547523427041513E-2"/>
                  <c:y val="2.883279295970411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008-4555-8C36-8E168A04FDC2}"/>
                </c:ext>
              </c:extLst>
            </c:dLbl>
            <c:numFmt formatCode="#.00" sourceLinked="0"/>
            <c:spPr>
              <a:noFill/>
              <a:ln>
                <a:noFill/>
              </a:ln>
              <a:effectLst/>
            </c:spPr>
            <c:txPr>
              <a:bodyPr rot="0" vert="horz"/>
              <a:lstStyle/>
              <a:p>
                <a:pPr>
                  <a:defRPr sz="800">
                    <a:latin typeface="Times New Roman" pitchFamily="18" charset="0"/>
                    <a:cs typeface="Times New Roman" pitchFamily="18" charset="0"/>
                  </a:defRPr>
                </a:pPr>
                <a:endParaRPr lang="nb-NO"/>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'slope Aug 2017'!$Q$2:$Q$6</c:f>
              <c:numCache>
                <c:formatCode>0.00</c:formatCode>
                <c:ptCount val="5"/>
                <c:pt idx="0">
                  <c:v>-3.01</c:v>
                </c:pt>
                <c:pt idx="1">
                  <c:v>-0.91</c:v>
                </c:pt>
                <c:pt idx="2">
                  <c:v>0</c:v>
                </c:pt>
                <c:pt idx="3">
                  <c:v>0.91</c:v>
                </c:pt>
                <c:pt idx="4">
                  <c:v>2.12</c:v>
                </c:pt>
              </c:numCache>
            </c:numRef>
          </c:xVal>
          <c:yVal>
            <c:numRef>
              <c:f>'slope Aug 2017'!$T$2:$T$6</c:f>
              <c:numCache>
                <c:formatCode>0.00</c:formatCode>
                <c:ptCount val="5"/>
                <c:pt idx="0">
                  <c:v>1.1100000000000001</c:v>
                </c:pt>
                <c:pt idx="1">
                  <c:v>0.94000000000000095</c:v>
                </c:pt>
                <c:pt idx="2">
                  <c:v>0.87000000000000322</c:v>
                </c:pt>
                <c:pt idx="3">
                  <c:v>0.8</c:v>
                </c:pt>
                <c:pt idx="4">
                  <c:v>0.70000000000000095</c:v>
                </c:pt>
              </c:numCache>
            </c:numRef>
          </c:yVal>
          <c:smooth val="0"/>
          <c:extLst>
            <c:ext xmlns:c16="http://schemas.microsoft.com/office/drawing/2014/chart" uri="{C3380CC4-5D6E-409C-BE32-E72D297353CC}">
              <c16:uniqueId val="{00000005-9008-4555-8C36-8E168A04FDC2}"/>
            </c:ext>
          </c:extLst>
        </c:ser>
        <c:ser>
          <c:idx val="3"/>
          <c:order val="3"/>
          <c:tx>
            <c:v>+1 SD Qual</c:v>
          </c:tx>
          <c:marker>
            <c:symbol val="none"/>
          </c:marker>
          <c:dLbls>
            <c:dLbl>
              <c:idx val="1"/>
              <c:layout>
                <c:manualLayout>
                  <c:x val="-5.5220883534136504E-2"/>
                  <c:y val="-1.1534025374855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008-4555-8C36-8E168A04FDC2}"/>
                </c:ext>
              </c:extLst>
            </c:dLbl>
            <c:numFmt formatCode="#.00" sourceLinked="0"/>
            <c:spPr>
              <a:noFill/>
              <a:ln>
                <a:noFill/>
              </a:ln>
              <a:effectLst/>
            </c:spPr>
            <c:txPr>
              <a:bodyPr rot="0" vert="horz"/>
              <a:lstStyle/>
              <a:p>
                <a:pPr>
                  <a:defRPr sz="800">
                    <a:latin typeface="Times New Roman" pitchFamily="18" charset="0"/>
                    <a:cs typeface="Times New Roman" pitchFamily="18" charset="0"/>
                  </a:defRPr>
                </a:pPr>
                <a:endParaRPr lang="nb-NO"/>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'slope Aug 2017'!$Q$2:$Q$6</c:f>
              <c:numCache>
                <c:formatCode>0.00</c:formatCode>
                <c:ptCount val="5"/>
                <c:pt idx="0">
                  <c:v>-3.01</c:v>
                </c:pt>
                <c:pt idx="1">
                  <c:v>-0.91</c:v>
                </c:pt>
                <c:pt idx="2">
                  <c:v>0</c:v>
                </c:pt>
                <c:pt idx="3">
                  <c:v>0.91</c:v>
                </c:pt>
                <c:pt idx="4">
                  <c:v>2.12</c:v>
                </c:pt>
              </c:numCache>
            </c:numRef>
          </c:xVal>
          <c:yVal>
            <c:numRef>
              <c:f>'slope Aug 2017'!$U$2:$U$6</c:f>
              <c:numCache>
                <c:formatCode>0.00</c:formatCode>
                <c:ptCount val="5"/>
                <c:pt idx="0">
                  <c:v>1.9200000000000021</c:v>
                </c:pt>
                <c:pt idx="1">
                  <c:v>0.99</c:v>
                </c:pt>
                <c:pt idx="2">
                  <c:v>0.59</c:v>
                </c:pt>
                <c:pt idx="3">
                  <c:v>0.19</c:v>
                </c:pt>
                <c:pt idx="4">
                  <c:v>-0.34</c:v>
                </c:pt>
              </c:numCache>
            </c:numRef>
          </c:yVal>
          <c:smooth val="0"/>
          <c:extLst>
            <c:ext xmlns:c16="http://schemas.microsoft.com/office/drawing/2014/chart" uri="{C3380CC4-5D6E-409C-BE32-E72D297353CC}">
              <c16:uniqueId val="{00000007-9008-4555-8C36-8E168A04FDC2}"/>
            </c:ext>
          </c:extLst>
        </c:ser>
        <c:ser>
          <c:idx val="4"/>
          <c:order val="4"/>
          <c:tx>
            <c:v>Max. Qual</c:v>
          </c:tx>
          <c:marker>
            <c:symbol val="none"/>
          </c:marker>
          <c:dLbls>
            <c:numFmt formatCode="#.00" sourceLinked="0"/>
            <c:spPr>
              <a:noFill/>
              <a:ln>
                <a:noFill/>
              </a:ln>
              <a:effectLst/>
            </c:spPr>
            <c:txPr>
              <a:bodyPr/>
              <a:lstStyle/>
              <a:p>
                <a:pPr>
                  <a:defRPr sz="800">
                    <a:latin typeface="Times New Roman" pitchFamily="18" charset="0"/>
                    <a:cs typeface="Times New Roman" pitchFamily="18" charset="0"/>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'slope Aug 2017'!$Q$2:$Q$6</c:f>
              <c:numCache>
                <c:formatCode>0.00</c:formatCode>
                <c:ptCount val="5"/>
                <c:pt idx="0">
                  <c:v>-3.01</c:v>
                </c:pt>
                <c:pt idx="1">
                  <c:v>-0.91</c:v>
                </c:pt>
                <c:pt idx="2">
                  <c:v>0</c:v>
                </c:pt>
                <c:pt idx="3">
                  <c:v>0.91</c:v>
                </c:pt>
                <c:pt idx="4">
                  <c:v>2.12</c:v>
                </c:pt>
              </c:numCache>
            </c:numRef>
          </c:xVal>
          <c:yVal>
            <c:numRef>
              <c:f>'slope Aug 2017'!$V$2:$V$6</c:f>
              <c:numCache>
                <c:formatCode>0.00</c:formatCode>
                <c:ptCount val="5"/>
                <c:pt idx="0">
                  <c:v>2.71</c:v>
                </c:pt>
                <c:pt idx="1">
                  <c:v>1.04</c:v>
                </c:pt>
                <c:pt idx="2">
                  <c:v>0.32000000000000212</c:v>
                </c:pt>
                <c:pt idx="3">
                  <c:v>-0.4</c:v>
                </c:pt>
                <c:pt idx="4">
                  <c:v>-1.36</c:v>
                </c:pt>
              </c:numCache>
            </c:numRef>
          </c:yVal>
          <c:smooth val="0"/>
          <c:extLst>
            <c:ext xmlns:c16="http://schemas.microsoft.com/office/drawing/2014/chart" uri="{C3380CC4-5D6E-409C-BE32-E72D297353CC}">
              <c16:uniqueId val="{00000008-9008-4555-8C36-8E168A04FDC2}"/>
            </c:ext>
          </c:extLst>
        </c:ser>
        <c:dLbls>
          <c:showLegendKey val="0"/>
          <c:showVal val="1"/>
          <c:showCatName val="0"/>
          <c:showSerName val="0"/>
          <c:showPercent val="0"/>
          <c:showBubbleSize val="0"/>
        </c:dLbls>
        <c:axId val="112430464"/>
        <c:axId val="80200832"/>
      </c:scatterChart>
      <c:valAx>
        <c:axId val="112430464"/>
        <c:scaling>
          <c:orientation val="minMax"/>
        </c:scaling>
        <c:delete val="0"/>
        <c:axPos val="b"/>
        <c:title>
          <c:tx>
            <c:rich>
              <a:bodyPr rot="0" vert="horz"/>
              <a:lstStyle/>
              <a:p>
                <a:pPr>
                  <a:defRPr sz="900">
                    <a:latin typeface="Times New Roman" pitchFamily="18" charset="0"/>
                    <a:cs typeface="Times New Roman" pitchFamily="18" charset="0"/>
                  </a:defRPr>
                </a:pPr>
                <a:r>
                  <a:rPr lang="en-US" sz="900">
                    <a:latin typeface="Times New Roman" pitchFamily="18" charset="0"/>
                    <a:cs typeface="Times New Roman" pitchFamily="18" charset="0"/>
                  </a:rPr>
                  <a:t>Mutual Asymmetric Investments, INVDIFF</a:t>
                </a:r>
              </a:p>
            </c:rich>
          </c:tx>
          <c:layout>
            <c:manualLayout>
              <c:xMode val="edge"/>
              <c:yMode val="edge"/>
              <c:x val="0.35483012540099201"/>
              <c:y val="0.9275129785911348"/>
            </c:manualLayout>
          </c:layout>
          <c:overlay val="0"/>
        </c:title>
        <c:numFmt formatCode="0.00" sourceLinked="1"/>
        <c:majorTickMark val="out"/>
        <c:minorTickMark val="none"/>
        <c:tickLblPos val="nextTo"/>
        <c:txPr>
          <a:bodyPr rot="0" vert="horz"/>
          <a:lstStyle/>
          <a:p>
            <a:pPr>
              <a:defRPr sz="800" b="0" i="0" u="none" strike="noStrike" baseline="0">
                <a:solidFill>
                  <a:srgbClr val="000000"/>
                </a:solidFill>
                <a:latin typeface="Times New Roman" pitchFamily="18" charset="0"/>
                <a:ea typeface="Calibri"/>
                <a:cs typeface="Times New Roman" pitchFamily="18" charset="0"/>
              </a:defRPr>
            </a:pPr>
            <a:endParaRPr lang="nb-NO"/>
          </a:p>
        </c:txPr>
        <c:crossAx val="80200832"/>
        <c:crosses val="autoZero"/>
        <c:crossBetween val="midCat"/>
      </c:valAx>
      <c:valAx>
        <c:axId val="80200832"/>
        <c:scaling>
          <c:orientation val="minMax"/>
        </c:scaling>
        <c:delete val="0"/>
        <c:axPos val="l"/>
        <c:title>
          <c:tx>
            <c:rich>
              <a:bodyPr rot="-5400000" vert="horz"/>
              <a:lstStyle/>
              <a:p>
                <a:pPr>
                  <a:defRPr sz="900">
                    <a:latin typeface="Times New Roman" pitchFamily="18" charset="0"/>
                    <a:cs typeface="Times New Roman" pitchFamily="18" charset="0"/>
                  </a:defRPr>
                </a:pPr>
                <a:r>
                  <a:rPr lang="en-US" sz="900">
                    <a:latin typeface="Times New Roman" pitchFamily="18" charset="0"/>
                    <a:cs typeface="Times New Roman" pitchFamily="18" charset="0"/>
                  </a:rPr>
                  <a:t>Slope of Supplier Incremental Investments on Ex Post Transaction Costs  </a:t>
                </a:r>
              </a:p>
            </c:rich>
          </c:tx>
          <c:layout>
            <c:manualLayout>
              <c:xMode val="edge"/>
              <c:yMode val="edge"/>
              <c:x val="1.3313553197154505E-5"/>
              <c:y val="0.14854366453220808"/>
            </c:manualLayout>
          </c:layout>
          <c:overlay val="0"/>
        </c:title>
        <c:numFmt formatCode="General" sourceLinked="0"/>
        <c:majorTickMark val="out"/>
        <c:minorTickMark val="none"/>
        <c:tickLblPos val="nextTo"/>
        <c:txPr>
          <a:bodyPr rot="0"/>
          <a:lstStyle/>
          <a:p>
            <a:pPr>
              <a:defRPr sz="800" b="0">
                <a:latin typeface="Times New Roman" pitchFamily="18" charset="0"/>
                <a:cs typeface="Times New Roman" pitchFamily="18" charset="0"/>
              </a:defRPr>
            </a:pPr>
            <a:endParaRPr lang="nb-NO"/>
          </a:p>
        </c:txPr>
        <c:crossAx val="112430464"/>
        <c:crosses val="autoZero"/>
        <c:crossBetween val="midCat"/>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0.80321</cdr:x>
      <cdr:y>0.77042</cdr:y>
    </cdr:from>
    <cdr:to>
      <cdr:x>1</cdr:x>
      <cdr:y>0.95968</cdr:y>
    </cdr:to>
    <cdr:sp macro="" textlink="">
      <cdr:nvSpPr>
        <cdr:cNvPr id="2" name="Rectangle 1"/>
        <cdr:cNvSpPr>
          <a:spLocks xmlns:a="http://schemas.openxmlformats.org/drawingml/2006/main" noChangeArrowheads="1"/>
        </cdr:cNvSpPr>
      </cdr:nvSpPr>
      <cdr:spPr bwMode="auto">
        <a:xfrm xmlns:a="http://schemas.openxmlformats.org/drawingml/2006/main">
          <a:off x="4636248" y="2183866"/>
          <a:ext cx="1135902" cy="536474"/>
        </a:xfrm>
        <a:prstGeom xmlns:a="http://schemas.openxmlformats.org/drawingml/2006/main" prst="rect">
          <a:avLst/>
        </a:prstGeom>
        <a:solidFill xmlns:a="http://schemas.openxmlformats.org/drawingml/2006/main">
          <a:srgbClr val="FFFFFF"/>
        </a:solidFill>
        <a:ln xmlns:a="http://schemas.openxmlformats.org/drawingml/2006/main" w="6350">
          <a:solidFill>
            <a:schemeClr val="tx1"/>
          </a:solidFill>
          <a:miter lim="800000"/>
          <a:headEnd/>
          <a:tailEnd/>
        </a:ln>
      </cdr:spPr>
      <cdr:txBody>
        <a:bodyPr xmlns:a="http://schemas.openxmlformats.org/drawingml/2006/main" wrap="square" lIns="91440" tIns="45720" rIns="91440" bIns="4572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rtl="0">
            <a:defRPr sz="1000"/>
          </a:pPr>
          <a:r>
            <a:rPr lang="en-US" sz="800" b="0" i="0" u="none" strike="noStrike" baseline="0">
              <a:solidFill>
                <a:srgbClr val="000000"/>
              </a:solidFill>
              <a:latin typeface="Times New Roman"/>
              <a:cs typeface="Times New Roman"/>
            </a:rPr>
            <a:t>    </a:t>
          </a:r>
          <a:r>
            <a:rPr lang="en-US" sz="800" b="0" i="1" u="none" strike="noStrike" baseline="0">
              <a:solidFill>
                <a:srgbClr val="000000"/>
              </a:solidFill>
              <a:latin typeface="Times New Roman"/>
              <a:cs typeface="Times New Roman"/>
            </a:rPr>
            <a:t>p </a:t>
          </a:r>
          <a:r>
            <a:rPr lang="en-US" sz="800" b="0" i="0" u="none" strike="noStrike" baseline="0">
              <a:solidFill>
                <a:srgbClr val="000000"/>
              </a:solidFill>
              <a:latin typeface="Times New Roman"/>
              <a:cs typeface="Times New Roman"/>
            </a:rPr>
            <a:t>&lt; .01 (one-tailed)</a:t>
          </a:r>
        </a:p>
        <a:p xmlns:a="http://schemas.openxmlformats.org/drawingml/2006/main">
          <a:pPr algn="r" rtl="0">
            <a:defRPr sz="1000"/>
          </a:pPr>
          <a:r>
            <a:rPr lang="en-US" sz="800" b="0" i="0" u="none" strike="noStrike" baseline="0">
              <a:solidFill>
                <a:srgbClr val="000000"/>
              </a:solidFill>
              <a:latin typeface="Times New Roman"/>
              <a:cs typeface="Times New Roman"/>
            </a:rPr>
            <a:t>    </a:t>
          </a:r>
          <a:r>
            <a:rPr lang="en-US" sz="800" b="0" i="1" u="none" strike="noStrike" baseline="0">
              <a:solidFill>
                <a:srgbClr val="000000"/>
              </a:solidFill>
              <a:latin typeface="Times New Roman"/>
              <a:cs typeface="Times New Roman"/>
            </a:rPr>
            <a:t>p </a:t>
          </a:r>
          <a:r>
            <a:rPr lang="en-US" sz="800" b="0" i="0" u="none" strike="noStrike" baseline="0">
              <a:solidFill>
                <a:srgbClr val="000000"/>
              </a:solidFill>
              <a:latin typeface="Times New Roman"/>
              <a:cs typeface="Times New Roman"/>
            </a:rPr>
            <a:t>&lt; .05 (one-tailed)</a:t>
          </a:r>
        </a:p>
        <a:p xmlns:a="http://schemas.openxmlformats.org/drawingml/2006/main">
          <a:pPr algn="r" rtl="0">
            <a:defRPr sz="1000"/>
          </a:pPr>
          <a:r>
            <a:rPr lang="en-US" sz="800" b="0" i="0" u="none" strike="noStrike" baseline="0">
              <a:solidFill>
                <a:srgbClr val="000000"/>
              </a:solidFill>
              <a:latin typeface="Times New Roman"/>
              <a:cs typeface="Times New Roman"/>
            </a:rPr>
            <a:t>   </a:t>
          </a:r>
          <a:r>
            <a:rPr lang="en-US" sz="800" b="0" i="1" u="none" strike="noStrike" baseline="0">
              <a:solidFill>
                <a:srgbClr val="000000"/>
              </a:solidFill>
              <a:latin typeface="Times New Roman"/>
              <a:cs typeface="Times New Roman"/>
            </a:rPr>
            <a:t> p </a:t>
          </a:r>
          <a:r>
            <a:rPr lang="en-US" sz="800" b="0" i="0" u="none" strike="noStrike" baseline="0">
              <a:solidFill>
                <a:srgbClr val="000000"/>
              </a:solidFill>
              <a:latin typeface="Times New Roman"/>
              <a:cs typeface="Times New Roman"/>
            </a:rPr>
            <a:t>&lt; .1   (one-tailed)</a:t>
          </a:r>
        </a:p>
        <a:p xmlns:a="http://schemas.openxmlformats.org/drawingml/2006/main">
          <a:pPr algn="r" rtl="0">
            <a:defRPr sz="1000"/>
          </a:pPr>
          <a:r>
            <a:rPr lang="en-US" sz="800" b="0" i="1" u="none" strike="noStrike" baseline="0">
              <a:solidFill>
                <a:srgbClr val="000000"/>
              </a:solidFill>
              <a:latin typeface="Times New Roman"/>
              <a:cs typeface="Times New Roman"/>
            </a:rPr>
            <a:t>p </a:t>
          </a:r>
          <a:r>
            <a:rPr lang="en-US" sz="800" b="0" i="0" u="none" strike="noStrike" baseline="0">
              <a:solidFill>
                <a:srgbClr val="000000"/>
              </a:solidFill>
              <a:latin typeface="Times New Roman"/>
              <a:cs typeface="Times New Roman"/>
            </a:rPr>
            <a:t>&gt; .1   (one-tailed)</a:t>
          </a:r>
        </a:p>
        <a:p xmlns:a="http://schemas.openxmlformats.org/drawingml/2006/main">
          <a:pPr algn="r" rtl="0">
            <a:defRPr sz="1000"/>
          </a:pPr>
          <a:r>
            <a:rPr lang="en-US" sz="800" b="0" i="0" u="none" strike="noStrike" baseline="0">
              <a:solidFill>
                <a:srgbClr val="000000"/>
              </a:solidFill>
              <a:latin typeface="Times New Roman"/>
              <a:cs typeface="Times New Roman"/>
            </a:rPr>
            <a:t>    </a:t>
          </a:r>
        </a:p>
        <a:p xmlns:a="http://schemas.openxmlformats.org/drawingml/2006/main">
          <a:pPr algn="r" rtl="0">
            <a:defRPr sz="1000"/>
          </a:pPr>
          <a:endParaRPr lang="en-US" sz="800" b="0" i="0" u="none" strike="noStrike" baseline="0">
            <a:solidFill>
              <a:srgbClr val="000000"/>
            </a:solidFill>
            <a:latin typeface="Times New Roman"/>
            <a:cs typeface="Times New Roman"/>
          </a:endParaRPr>
        </a:p>
        <a:p xmlns:a="http://schemas.openxmlformats.org/drawingml/2006/main">
          <a:pPr algn="r" rtl="0">
            <a:defRPr sz="1000"/>
          </a:pPr>
          <a:endParaRPr lang="en-US" sz="800" b="0" i="0" u="none" strike="noStrike" baseline="0">
            <a:solidFill>
              <a:srgbClr val="000000"/>
            </a:solidFill>
            <a:latin typeface="Times New Roman"/>
            <a:cs typeface="Times New Roman"/>
          </a:endParaRPr>
        </a:p>
      </cdr:txBody>
    </cdr:sp>
  </cdr:relSizeAnchor>
  <cdr:relSizeAnchor xmlns:cdr="http://schemas.openxmlformats.org/drawingml/2006/chartDrawing">
    <cdr:from>
      <cdr:x>0.29371</cdr:x>
      <cdr:y>0.29804</cdr:y>
    </cdr:from>
    <cdr:to>
      <cdr:x>0.30021</cdr:x>
      <cdr:y>0.31115</cdr:y>
    </cdr:to>
    <cdr:sp macro="" textlink="">
      <cdr:nvSpPr>
        <cdr:cNvPr id="3" name="Diamond 2"/>
        <cdr:cNvSpPr/>
      </cdr:nvSpPr>
      <cdr:spPr>
        <a:xfrm xmlns:a="http://schemas.openxmlformats.org/drawingml/2006/main">
          <a:off x="2126196" y="1299029"/>
          <a:ext cx="47055" cy="57183"/>
        </a:xfrm>
        <a:prstGeom xmlns:a="http://schemas.openxmlformats.org/drawingml/2006/main" prst="diamond">
          <a:avLst/>
        </a:prstGeom>
        <a:solidFill xmlns:a="http://schemas.openxmlformats.org/drawingml/2006/main">
          <a:sysClr val="window" lastClr="FFFFFF"/>
        </a:solidFill>
        <a:ln xmlns:a="http://schemas.openxmlformats.org/drawingml/2006/main" w="19050" cap="flat" cmpd="dbl"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endParaRPr lang="en-US"/>
        </a:p>
      </cdr:txBody>
    </cdr:sp>
  </cdr:relSizeAnchor>
  <cdr:relSizeAnchor xmlns:cdr="http://schemas.openxmlformats.org/drawingml/2006/chartDrawing">
    <cdr:from>
      <cdr:x>0.10184</cdr:x>
      <cdr:y>0.20246</cdr:y>
    </cdr:from>
    <cdr:to>
      <cdr:x>0.11342</cdr:x>
      <cdr:y>0.22173</cdr:y>
    </cdr:to>
    <cdr:sp macro="" textlink="">
      <cdr:nvSpPr>
        <cdr:cNvPr id="4" name="Diamond 3"/>
        <cdr:cNvSpPr/>
      </cdr:nvSpPr>
      <cdr:spPr>
        <a:xfrm xmlns:a="http://schemas.openxmlformats.org/drawingml/2006/main">
          <a:off x="587049" y="627910"/>
          <a:ext cx="66753" cy="59763"/>
        </a:xfrm>
        <a:prstGeom xmlns:a="http://schemas.openxmlformats.org/drawingml/2006/main" prst="diamond">
          <a:avLst/>
        </a:prstGeom>
        <a:solidFill xmlns:a="http://schemas.openxmlformats.org/drawingml/2006/main">
          <a:sysClr val="windowText" lastClr="000000"/>
        </a:solidFill>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0.84026</cdr:x>
      <cdr:y>0.88587</cdr:y>
    </cdr:from>
    <cdr:to>
      <cdr:x>0.84816</cdr:x>
      <cdr:y>0.90163</cdr:y>
    </cdr:to>
    <cdr:sp macro="" textlink="">
      <cdr:nvSpPr>
        <cdr:cNvPr id="5" name="Diamond 4"/>
        <cdr:cNvSpPr/>
      </cdr:nvSpPr>
      <cdr:spPr>
        <a:xfrm xmlns:a="http://schemas.openxmlformats.org/drawingml/2006/main">
          <a:off x="4850132" y="2511132"/>
          <a:ext cx="45600" cy="44674"/>
        </a:xfrm>
        <a:prstGeom xmlns:a="http://schemas.openxmlformats.org/drawingml/2006/main" prst="diamond">
          <a:avLst/>
        </a:prstGeom>
        <a:solidFill xmlns:a="http://schemas.openxmlformats.org/drawingml/2006/main">
          <a:sysClr val="window" lastClr="FFFFFF"/>
        </a:solidFill>
        <a:ln xmlns:a="http://schemas.openxmlformats.org/drawingml/2006/main" w="9525" cap="flat" cmpd="sng"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0.47684</cdr:x>
      <cdr:y>0.38636</cdr:y>
    </cdr:from>
    <cdr:to>
      <cdr:x>0.48334</cdr:x>
      <cdr:y>0.39948</cdr:y>
    </cdr:to>
    <cdr:sp macro="" textlink="">
      <cdr:nvSpPr>
        <cdr:cNvPr id="7" name="Diamond 6"/>
        <cdr:cNvSpPr/>
      </cdr:nvSpPr>
      <cdr:spPr>
        <a:xfrm xmlns:a="http://schemas.openxmlformats.org/drawingml/2006/main">
          <a:off x="3451860" y="1684020"/>
          <a:ext cx="47055" cy="57183"/>
        </a:xfrm>
        <a:prstGeom xmlns:a="http://schemas.openxmlformats.org/drawingml/2006/main" prst="diamond">
          <a:avLst/>
        </a:prstGeom>
        <a:solidFill xmlns:a="http://schemas.openxmlformats.org/drawingml/2006/main">
          <a:sysClr val="window" lastClr="FFFFFF"/>
        </a:solidFill>
        <a:ln xmlns:a="http://schemas.openxmlformats.org/drawingml/2006/main" w="19050" cap="flat" cmpd="dbl"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endParaRPr lang="en-US"/>
        </a:p>
      </cdr:txBody>
    </cdr:sp>
  </cdr:relSizeAnchor>
  <cdr:relSizeAnchor xmlns:cdr="http://schemas.openxmlformats.org/drawingml/2006/chartDrawing">
    <cdr:from>
      <cdr:x>0.84044</cdr:x>
      <cdr:y>0.79808</cdr:y>
    </cdr:from>
    <cdr:to>
      <cdr:x>0.85202</cdr:x>
      <cdr:y>0.81735</cdr:y>
    </cdr:to>
    <cdr:sp macro="" textlink="">
      <cdr:nvSpPr>
        <cdr:cNvPr id="9" name="Diamond 8"/>
        <cdr:cNvSpPr/>
      </cdr:nvSpPr>
      <cdr:spPr>
        <a:xfrm xmlns:a="http://schemas.openxmlformats.org/drawingml/2006/main">
          <a:off x="4844716" y="2475108"/>
          <a:ext cx="66754" cy="59763"/>
        </a:xfrm>
        <a:prstGeom xmlns:a="http://schemas.openxmlformats.org/drawingml/2006/main" prst="diamond">
          <a:avLst/>
        </a:prstGeom>
        <a:solidFill xmlns:a="http://schemas.openxmlformats.org/drawingml/2006/main">
          <a:sysClr val="windowText" lastClr="000000"/>
        </a:solidFill>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0.8409</cdr:x>
      <cdr:y>0.8446</cdr:y>
    </cdr:from>
    <cdr:to>
      <cdr:x>0.8474</cdr:x>
      <cdr:y>0.85772</cdr:y>
    </cdr:to>
    <cdr:sp macro="" textlink="">
      <cdr:nvSpPr>
        <cdr:cNvPr id="10" name="Diamond 9"/>
        <cdr:cNvSpPr/>
      </cdr:nvSpPr>
      <cdr:spPr>
        <a:xfrm xmlns:a="http://schemas.openxmlformats.org/drawingml/2006/main">
          <a:off x="4853801" y="2394144"/>
          <a:ext cx="37519" cy="37191"/>
        </a:xfrm>
        <a:prstGeom xmlns:a="http://schemas.openxmlformats.org/drawingml/2006/main" prst="diamond">
          <a:avLst/>
        </a:prstGeom>
        <a:solidFill xmlns:a="http://schemas.openxmlformats.org/drawingml/2006/main">
          <a:sysClr val="window" lastClr="FFFFFF"/>
        </a:solidFill>
        <a:ln xmlns:a="http://schemas.openxmlformats.org/drawingml/2006/main" w="19050" cap="flat" cmpd="dbl"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endParaRPr lang="en-US"/>
        </a:p>
      </cdr:txBody>
    </cdr:sp>
  </cdr:relSizeAnchor>
  <cdr:relSizeAnchor xmlns:cdr="http://schemas.openxmlformats.org/drawingml/2006/chartDrawing">
    <cdr:from>
      <cdr:x>0.84343</cdr:x>
      <cdr:y>0.93268</cdr:y>
    </cdr:from>
    <cdr:to>
      <cdr:x>0.84975</cdr:x>
      <cdr:y>0.94317</cdr:y>
    </cdr:to>
    <cdr:sp macro="" textlink="">
      <cdr:nvSpPr>
        <cdr:cNvPr id="12" name="Flowchart: Connector 11"/>
        <cdr:cNvSpPr/>
      </cdr:nvSpPr>
      <cdr:spPr>
        <a:xfrm xmlns:a="http://schemas.openxmlformats.org/drawingml/2006/main">
          <a:off x="4868384" y="2643817"/>
          <a:ext cx="36480" cy="29736"/>
        </a:xfrm>
        <a:prstGeom xmlns:a="http://schemas.openxmlformats.org/drawingml/2006/main" prst="flowChartConnector">
          <a:avLst/>
        </a:prstGeom>
        <a:solidFill xmlns:a="http://schemas.openxmlformats.org/drawingml/2006/main">
          <a:sysClr val="window" lastClr="FFFFFF"/>
        </a:solidFill>
        <a:ln xmlns:a="http://schemas.openxmlformats.org/drawingml/2006/main" w="6350" cap="flat" cmpd="sng"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0.65281</cdr:x>
      <cdr:y>0.47312</cdr:y>
    </cdr:from>
    <cdr:to>
      <cdr:x>0.66073</cdr:x>
      <cdr:y>0.48925</cdr:y>
    </cdr:to>
    <cdr:sp macro="" textlink="">
      <cdr:nvSpPr>
        <cdr:cNvPr id="13" name="Flowchart: Connector 12"/>
        <cdr:cNvSpPr/>
      </cdr:nvSpPr>
      <cdr:spPr>
        <a:xfrm xmlns:a="http://schemas.openxmlformats.org/drawingml/2006/main">
          <a:off x="3768090" y="1341120"/>
          <a:ext cx="45719" cy="45720"/>
        </a:xfrm>
        <a:prstGeom xmlns:a="http://schemas.openxmlformats.org/drawingml/2006/main" prst="flowChartConnector">
          <a:avLst/>
        </a:prstGeom>
        <a:solidFill xmlns:a="http://schemas.openxmlformats.org/drawingml/2006/main">
          <a:sysClr val="window" lastClr="FFFFFF"/>
        </a:solidFill>
        <a:ln xmlns:a="http://schemas.openxmlformats.org/drawingml/2006/main" w="6350" cap="flat" cmpd="sng"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0.84158</cdr:x>
      <cdr:y>0.56183</cdr:y>
    </cdr:from>
    <cdr:to>
      <cdr:x>0.8495</cdr:x>
      <cdr:y>0.57796</cdr:y>
    </cdr:to>
    <cdr:sp macro="" textlink="">
      <cdr:nvSpPr>
        <cdr:cNvPr id="15" name="Flowchart: Connector 14"/>
        <cdr:cNvSpPr/>
      </cdr:nvSpPr>
      <cdr:spPr>
        <a:xfrm xmlns:a="http://schemas.openxmlformats.org/drawingml/2006/main">
          <a:off x="4857750" y="1592580"/>
          <a:ext cx="45719" cy="45720"/>
        </a:xfrm>
        <a:prstGeom xmlns:a="http://schemas.openxmlformats.org/drawingml/2006/main" prst="flowChartConnector">
          <a:avLst/>
        </a:prstGeom>
        <a:solidFill xmlns:a="http://schemas.openxmlformats.org/drawingml/2006/main">
          <a:sysClr val="window" lastClr="FFFFFF"/>
        </a:solidFill>
        <a:ln xmlns:a="http://schemas.openxmlformats.org/drawingml/2006/main" w="6350" cap="flat" cmpd="sng"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0.78226</cdr:x>
      <cdr:y>0.8364</cdr:y>
    </cdr:from>
    <cdr:to>
      <cdr:x>0.98682</cdr:x>
      <cdr:y>0.98129</cdr:y>
    </cdr:to>
    <cdr:sp macro="" textlink="">
      <cdr:nvSpPr>
        <cdr:cNvPr id="2" name="Rectangle 1"/>
        <cdr:cNvSpPr>
          <a:spLocks xmlns:a="http://schemas.openxmlformats.org/drawingml/2006/main" noChangeArrowheads="1"/>
        </cdr:cNvSpPr>
      </cdr:nvSpPr>
      <cdr:spPr bwMode="auto">
        <a:xfrm xmlns:a="http://schemas.openxmlformats.org/drawingml/2006/main">
          <a:off x="4935584" y="3274318"/>
          <a:ext cx="1290620" cy="567212"/>
        </a:xfrm>
        <a:prstGeom xmlns:a="http://schemas.openxmlformats.org/drawingml/2006/main" prst="rect">
          <a:avLst/>
        </a:prstGeom>
        <a:solidFill xmlns:a="http://schemas.openxmlformats.org/drawingml/2006/main">
          <a:srgbClr val="FFFFFF"/>
        </a:solidFill>
        <a:ln xmlns:a="http://schemas.openxmlformats.org/drawingml/2006/main" w="6350">
          <a:solidFill>
            <a:schemeClr val="tx1"/>
          </a:solidFill>
          <a:miter lim="800000"/>
          <a:headEnd/>
          <a:tailEnd/>
        </a:ln>
      </cdr:spPr>
      <cdr:txBody>
        <a:bodyPr xmlns:a="http://schemas.openxmlformats.org/drawingml/2006/main" wrap="square" lIns="91440" tIns="45720" rIns="91440" bIns="4572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rtl="0">
            <a:defRPr sz="1000"/>
          </a:pPr>
          <a:r>
            <a:rPr lang="en-US" sz="800" b="0" i="0" u="none" strike="noStrike" baseline="0">
              <a:solidFill>
                <a:srgbClr val="000000"/>
              </a:solidFill>
              <a:latin typeface="Times New Roman"/>
              <a:cs typeface="Times New Roman"/>
            </a:rPr>
            <a:t>    </a:t>
          </a:r>
          <a:r>
            <a:rPr lang="en-US" sz="800" b="0" i="1" u="none" strike="noStrike" baseline="0">
              <a:solidFill>
                <a:srgbClr val="000000"/>
              </a:solidFill>
              <a:latin typeface="Times New Roman"/>
              <a:cs typeface="Times New Roman"/>
            </a:rPr>
            <a:t>p </a:t>
          </a:r>
          <a:r>
            <a:rPr lang="en-US" sz="800" b="0" i="0" u="none" strike="noStrike" baseline="0">
              <a:solidFill>
                <a:srgbClr val="000000"/>
              </a:solidFill>
              <a:latin typeface="Times New Roman"/>
              <a:cs typeface="Times New Roman"/>
            </a:rPr>
            <a:t>&lt; .01 (one-tailed)</a:t>
          </a:r>
        </a:p>
        <a:p xmlns:a="http://schemas.openxmlformats.org/drawingml/2006/main">
          <a:pPr algn="r" rtl="0">
            <a:defRPr sz="1000"/>
          </a:pPr>
          <a:r>
            <a:rPr lang="en-US" sz="800" b="0" i="0" u="none" strike="noStrike" baseline="0">
              <a:solidFill>
                <a:srgbClr val="000000"/>
              </a:solidFill>
              <a:latin typeface="Times New Roman"/>
              <a:cs typeface="Times New Roman"/>
            </a:rPr>
            <a:t>    </a:t>
          </a:r>
          <a:r>
            <a:rPr lang="en-US" sz="800" b="0" i="1" u="none" strike="noStrike" baseline="0">
              <a:solidFill>
                <a:srgbClr val="000000"/>
              </a:solidFill>
              <a:latin typeface="Times New Roman"/>
              <a:cs typeface="Times New Roman"/>
            </a:rPr>
            <a:t>p </a:t>
          </a:r>
          <a:r>
            <a:rPr lang="en-US" sz="800" b="0" i="0" u="none" strike="noStrike" baseline="0">
              <a:solidFill>
                <a:srgbClr val="000000"/>
              </a:solidFill>
              <a:latin typeface="Times New Roman"/>
              <a:cs typeface="Times New Roman"/>
            </a:rPr>
            <a:t>&lt; .05 (one-tailed)</a:t>
          </a:r>
        </a:p>
        <a:p xmlns:a="http://schemas.openxmlformats.org/drawingml/2006/main">
          <a:pPr algn="r" rtl="0">
            <a:defRPr sz="1000"/>
          </a:pPr>
          <a:r>
            <a:rPr lang="en-US" sz="800" b="0" i="0" u="none" strike="noStrike" baseline="0">
              <a:solidFill>
                <a:srgbClr val="000000"/>
              </a:solidFill>
              <a:latin typeface="Times New Roman"/>
              <a:cs typeface="Times New Roman"/>
            </a:rPr>
            <a:t>   </a:t>
          </a:r>
          <a:r>
            <a:rPr lang="en-US" sz="800" b="0" i="1" u="none" strike="noStrike" baseline="0">
              <a:solidFill>
                <a:srgbClr val="000000"/>
              </a:solidFill>
              <a:latin typeface="Times New Roman"/>
              <a:cs typeface="Times New Roman"/>
            </a:rPr>
            <a:t> p </a:t>
          </a:r>
          <a:r>
            <a:rPr lang="en-US" sz="800" b="0" i="0" u="none" strike="noStrike" baseline="0">
              <a:solidFill>
                <a:srgbClr val="000000"/>
              </a:solidFill>
              <a:latin typeface="Times New Roman"/>
              <a:cs typeface="Times New Roman"/>
            </a:rPr>
            <a:t>&lt; .1   (one-tailed)</a:t>
          </a:r>
        </a:p>
        <a:p xmlns:a="http://schemas.openxmlformats.org/drawingml/2006/main">
          <a:pPr algn="r" rtl="0">
            <a:defRPr sz="1000"/>
          </a:pPr>
          <a:r>
            <a:rPr lang="en-US" sz="800" b="0" i="1" u="none" strike="noStrike" baseline="0">
              <a:solidFill>
                <a:srgbClr val="000000"/>
              </a:solidFill>
              <a:latin typeface="Times New Roman"/>
              <a:cs typeface="Times New Roman"/>
            </a:rPr>
            <a:t>p &gt; </a:t>
          </a:r>
          <a:r>
            <a:rPr lang="en-US" sz="800" b="0" i="0" u="none" strike="noStrike" baseline="0">
              <a:solidFill>
                <a:srgbClr val="000000"/>
              </a:solidFill>
              <a:latin typeface="Times New Roman"/>
              <a:cs typeface="Times New Roman"/>
            </a:rPr>
            <a:t>.1   (one-tailed)</a:t>
          </a:r>
        </a:p>
        <a:p xmlns:a="http://schemas.openxmlformats.org/drawingml/2006/main">
          <a:pPr algn="r" rtl="0">
            <a:defRPr sz="1000"/>
          </a:pPr>
          <a:r>
            <a:rPr lang="en-US" sz="800" b="0" i="0" u="none" strike="noStrike" baseline="0">
              <a:solidFill>
                <a:srgbClr val="000000"/>
              </a:solidFill>
              <a:latin typeface="Times New Roman"/>
              <a:cs typeface="Times New Roman"/>
            </a:rPr>
            <a:t>    </a:t>
          </a:r>
        </a:p>
        <a:p xmlns:a="http://schemas.openxmlformats.org/drawingml/2006/main">
          <a:pPr algn="r" rtl="0">
            <a:defRPr sz="1000"/>
          </a:pPr>
          <a:endParaRPr lang="en-US" sz="800" b="0" i="0" u="none" strike="noStrike" baseline="0">
            <a:solidFill>
              <a:srgbClr val="000000"/>
            </a:solidFill>
            <a:latin typeface="Times New Roman"/>
            <a:cs typeface="Times New Roman"/>
          </a:endParaRPr>
        </a:p>
        <a:p xmlns:a="http://schemas.openxmlformats.org/drawingml/2006/main">
          <a:pPr algn="r" rtl="0">
            <a:defRPr sz="1000"/>
          </a:pPr>
          <a:endParaRPr lang="en-US" sz="800" b="0" i="0" u="none" strike="noStrike" baseline="0">
            <a:solidFill>
              <a:srgbClr val="000000"/>
            </a:solidFill>
            <a:latin typeface="Times New Roman"/>
            <a:cs typeface="Times New Roman"/>
          </a:endParaRPr>
        </a:p>
      </cdr:txBody>
    </cdr:sp>
  </cdr:relSizeAnchor>
  <cdr:relSizeAnchor xmlns:cdr="http://schemas.openxmlformats.org/drawingml/2006/chartDrawing">
    <cdr:from>
      <cdr:x>0.84777</cdr:x>
      <cdr:y>0.8912</cdr:y>
    </cdr:from>
    <cdr:to>
      <cdr:x>0.85523</cdr:x>
      <cdr:y>0.9058</cdr:y>
    </cdr:to>
    <cdr:sp macro="" textlink="">
      <cdr:nvSpPr>
        <cdr:cNvPr id="3" name="Diamond 2"/>
        <cdr:cNvSpPr/>
      </cdr:nvSpPr>
      <cdr:spPr>
        <a:xfrm xmlns:a="http://schemas.openxmlformats.org/drawingml/2006/main">
          <a:off x="5348910" y="3490531"/>
          <a:ext cx="47055" cy="57183"/>
        </a:xfrm>
        <a:prstGeom xmlns:a="http://schemas.openxmlformats.org/drawingml/2006/main" prst="diamond">
          <a:avLst/>
        </a:prstGeom>
        <a:solidFill xmlns:a="http://schemas.openxmlformats.org/drawingml/2006/main">
          <a:sysClr val="window" lastClr="FFFFFF"/>
        </a:solidFill>
        <a:ln xmlns:a="http://schemas.openxmlformats.org/drawingml/2006/main" w="19050" cap="flat" cmpd="dbl"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endParaRPr lang="en-US"/>
        </a:p>
      </cdr:txBody>
    </cdr:sp>
  </cdr:relSizeAnchor>
  <cdr:relSizeAnchor xmlns:cdr="http://schemas.openxmlformats.org/drawingml/2006/chartDrawing">
    <cdr:from>
      <cdr:x>0.84291</cdr:x>
      <cdr:y>0.8572</cdr:y>
    </cdr:from>
    <cdr:to>
      <cdr:x>0.8562</cdr:x>
      <cdr:y>0.87864</cdr:y>
    </cdr:to>
    <cdr:sp macro="" textlink="">
      <cdr:nvSpPr>
        <cdr:cNvPr id="4" name="Diamond 3"/>
        <cdr:cNvSpPr/>
      </cdr:nvSpPr>
      <cdr:spPr>
        <a:xfrm xmlns:a="http://schemas.openxmlformats.org/drawingml/2006/main">
          <a:off x="5318214" y="3357362"/>
          <a:ext cx="83839" cy="83974"/>
        </a:xfrm>
        <a:prstGeom xmlns:a="http://schemas.openxmlformats.org/drawingml/2006/main" prst="diamond">
          <a:avLst/>
        </a:prstGeom>
        <a:solidFill xmlns:a="http://schemas.openxmlformats.org/drawingml/2006/main">
          <a:sysClr val="windowText" lastClr="000000"/>
        </a:solidFill>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0.84593</cdr:x>
      <cdr:y>0.9181</cdr:y>
    </cdr:from>
    <cdr:to>
      <cdr:x>0.85499</cdr:x>
      <cdr:y>0.93564</cdr:y>
    </cdr:to>
    <cdr:sp macro="" textlink="">
      <cdr:nvSpPr>
        <cdr:cNvPr id="5" name="Diamond 4"/>
        <cdr:cNvSpPr/>
      </cdr:nvSpPr>
      <cdr:spPr>
        <a:xfrm xmlns:a="http://schemas.openxmlformats.org/drawingml/2006/main">
          <a:off x="5337286" y="3595896"/>
          <a:ext cx="57184" cy="68705"/>
        </a:xfrm>
        <a:prstGeom xmlns:a="http://schemas.openxmlformats.org/drawingml/2006/main" prst="diamond">
          <a:avLst/>
        </a:prstGeom>
        <a:solidFill xmlns:a="http://schemas.openxmlformats.org/drawingml/2006/main">
          <a:sysClr val="window" lastClr="FFFFFF"/>
        </a:solidFill>
        <a:ln xmlns:a="http://schemas.openxmlformats.org/drawingml/2006/main" w="9525" cap="flat" cmpd="sng"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0.51116</cdr:x>
      <cdr:y>0.30547</cdr:y>
    </cdr:from>
    <cdr:to>
      <cdr:x>0.52445</cdr:x>
      <cdr:y>0.32691</cdr:y>
    </cdr:to>
    <cdr:sp macro="" textlink="">
      <cdr:nvSpPr>
        <cdr:cNvPr id="7" name="Diamond 6"/>
        <cdr:cNvSpPr/>
      </cdr:nvSpPr>
      <cdr:spPr>
        <a:xfrm xmlns:a="http://schemas.openxmlformats.org/drawingml/2006/main">
          <a:off x="3225083" y="1196414"/>
          <a:ext cx="83840" cy="83975"/>
        </a:xfrm>
        <a:prstGeom xmlns:a="http://schemas.openxmlformats.org/drawingml/2006/main" prst="diamond">
          <a:avLst/>
        </a:prstGeom>
        <a:solidFill xmlns:a="http://schemas.openxmlformats.org/drawingml/2006/main">
          <a:sysClr val="windowText" lastClr="000000"/>
        </a:solidFill>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0.75582</cdr:x>
      <cdr:y>0.06721</cdr:y>
    </cdr:from>
    <cdr:to>
      <cdr:x>0.76911</cdr:x>
      <cdr:y>0.08865</cdr:y>
    </cdr:to>
    <cdr:sp macro="" textlink="">
      <cdr:nvSpPr>
        <cdr:cNvPr id="8" name="Diamond 7"/>
        <cdr:cNvSpPr/>
      </cdr:nvSpPr>
      <cdr:spPr>
        <a:xfrm xmlns:a="http://schemas.openxmlformats.org/drawingml/2006/main">
          <a:off x="4768737" y="263247"/>
          <a:ext cx="83840" cy="83975"/>
        </a:xfrm>
        <a:prstGeom xmlns:a="http://schemas.openxmlformats.org/drawingml/2006/main" prst="diamond">
          <a:avLst/>
        </a:prstGeom>
        <a:solidFill xmlns:a="http://schemas.openxmlformats.org/drawingml/2006/main">
          <a:sysClr val="windowText" lastClr="000000"/>
        </a:solidFill>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0.61326</cdr:x>
      <cdr:y>0.20519</cdr:y>
    </cdr:from>
    <cdr:to>
      <cdr:x>0.62655</cdr:x>
      <cdr:y>0.22663</cdr:y>
    </cdr:to>
    <cdr:sp macro="" textlink="">
      <cdr:nvSpPr>
        <cdr:cNvPr id="9" name="Diamond 8"/>
        <cdr:cNvSpPr/>
      </cdr:nvSpPr>
      <cdr:spPr>
        <a:xfrm xmlns:a="http://schemas.openxmlformats.org/drawingml/2006/main">
          <a:off x="3869288" y="803680"/>
          <a:ext cx="83840" cy="83976"/>
        </a:xfrm>
        <a:prstGeom xmlns:a="http://schemas.openxmlformats.org/drawingml/2006/main" prst="diamond">
          <a:avLst/>
        </a:prstGeom>
        <a:solidFill xmlns:a="http://schemas.openxmlformats.org/drawingml/2006/main">
          <a:sysClr val="windowText" lastClr="000000"/>
        </a:solidFill>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0.40215</cdr:x>
      <cdr:y>0.40424</cdr:y>
    </cdr:from>
    <cdr:to>
      <cdr:x>0.41121</cdr:x>
      <cdr:y>0.42178</cdr:y>
    </cdr:to>
    <cdr:sp macro="" textlink="">
      <cdr:nvSpPr>
        <cdr:cNvPr id="10" name="Diamond 9"/>
        <cdr:cNvSpPr/>
      </cdr:nvSpPr>
      <cdr:spPr>
        <a:xfrm xmlns:a="http://schemas.openxmlformats.org/drawingml/2006/main">
          <a:off x="2537282" y="1583262"/>
          <a:ext cx="57184" cy="68704"/>
        </a:xfrm>
        <a:prstGeom xmlns:a="http://schemas.openxmlformats.org/drawingml/2006/main" prst="diamond">
          <a:avLst/>
        </a:prstGeom>
        <a:solidFill xmlns:a="http://schemas.openxmlformats.org/drawingml/2006/main">
          <a:sysClr val="window" lastClr="FFFFFF"/>
        </a:solidFill>
        <a:ln xmlns:a="http://schemas.openxmlformats.org/drawingml/2006/main" w="9525" cap="flat" cmpd="sng"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0.75955</cdr:x>
      <cdr:y>0.25261</cdr:y>
    </cdr:from>
    <cdr:to>
      <cdr:x>0.76701</cdr:x>
      <cdr:y>0.26721</cdr:y>
    </cdr:to>
    <cdr:sp macro="" textlink="">
      <cdr:nvSpPr>
        <cdr:cNvPr id="11" name="Diamond 10"/>
        <cdr:cNvSpPr/>
      </cdr:nvSpPr>
      <cdr:spPr>
        <a:xfrm xmlns:a="http://schemas.openxmlformats.org/drawingml/2006/main">
          <a:off x="4792265" y="989374"/>
          <a:ext cx="47054" cy="57183"/>
        </a:xfrm>
        <a:prstGeom xmlns:a="http://schemas.openxmlformats.org/drawingml/2006/main" prst="diamond">
          <a:avLst/>
        </a:prstGeom>
        <a:solidFill xmlns:a="http://schemas.openxmlformats.org/drawingml/2006/main">
          <a:sysClr val="window" lastClr="FFFFFF"/>
        </a:solidFill>
        <a:ln xmlns:a="http://schemas.openxmlformats.org/drawingml/2006/main" w="19050" cap="flat" cmpd="dbl"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endParaRPr lang="en-US"/>
        </a:p>
      </cdr:txBody>
    </cdr:sp>
  </cdr:relSizeAnchor>
  <cdr:relSizeAnchor xmlns:cdr="http://schemas.openxmlformats.org/drawingml/2006/chartDrawing">
    <cdr:from>
      <cdr:x>0.6241</cdr:x>
      <cdr:y>0.31635</cdr:y>
    </cdr:from>
    <cdr:to>
      <cdr:x>0.63155</cdr:x>
      <cdr:y>0.33095</cdr:y>
    </cdr:to>
    <cdr:sp macro="" textlink="">
      <cdr:nvSpPr>
        <cdr:cNvPr id="12" name="Diamond 11"/>
        <cdr:cNvSpPr/>
      </cdr:nvSpPr>
      <cdr:spPr>
        <a:xfrm xmlns:a="http://schemas.openxmlformats.org/drawingml/2006/main">
          <a:off x="3937646" y="1239054"/>
          <a:ext cx="47054" cy="57183"/>
        </a:xfrm>
        <a:prstGeom xmlns:a="http://schemas.openxmlformats.org/drawingml/2006/main" prst="diamond">
          <a:avLst/>
        </a:prstGeom>
        <a:solidFill xmlns:a="http://schemas.openxmlformats.org/drawingml/2006/main">
          <a:sysClr val="window" lastClr="FFFFFF"/>
        </a:solidFill>
        <a:ln xmlns:a="http://schemas.openxmlformats.org/drawingml/2006/main" w="19050" cap="flat" cmpd="dbl"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endParaRPr lang="en-US"/>
        </a:p>
      </cdr:txBody>
    </cdr:sp>
  </cdr:relSizeAnchor>
  <cdr:relSizeAnchor xmlns:cdr="http://schemas.openxmlformats.org/drawingml/2006/chartDrawing">
    <cdr:from>
      <cdr:x>0.51316</cdr:x>
      <cdr:y>0.35833</cdr:y>
    </cdr:from>
    <cdr:to>
      <cdr:x>0.52062</cdr:x>
      <cdr:y>0.37293</cdr:y>
    </cdr:to>
    <cdr:sp macro="" textlink="">
      <cdr:nvSpPr>
        <cdr:cNvPr id="13" name="Diamond 12"/>
        <cdr:cNvSpPr/>
      </cdr:nvSpPr>
      <cdr:spPr>
        <a:xfrm xmlns:a="http://schemas.openxmlformats.org/drawingml/2006/main">
          <a:off x="3237738" y="1403454"/>
          <a:ext cx="47054" cy="57183"/>
        </a:xfrm>
        <a:prstGeom xmlns:a="http://schemas.openxmlformats.org/drawingml/2006/main" prst="diamond">
          <a:avLst/>
        </a:prstGeom>
        <a:solidFill xmlns:a="http://schemas.openxmlformats.org/drawingml/2006/main">
          <a:sysClr val="window" lastClr="FFFFFF"/>
        </a:solidFill>
        <a:ln xmlns:a="http://schemas.openxmlformats.org/drawingml/2006/main" w="19050" cap="flat" cmpd="dbl"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endParaRPr lang="en-US"/>
        </a:p>
      </cdr:txBody>
    </cdr:sp>
  </cdr:relSizeAnchor>
  <cdr:relSizeAnchor xmlns:cdr="http://schemas.openxmlformats.org/drawingml/2006/chartDrawing">
    <cdr:from>
      <cdr:x>0.16314</cdr:x>
      <cdr:y>0.3666</cdr:y>
    </cdr:from>
    <cdr:to>
      <cdr:x>0.17059</cdr:x>
      <cdr:y>0.3812</cdr:y>
    </cdr:to>
    <cdr:sp macro="" textlink="">
      <cdr:nvSpPr>
        <cdr:cNvPr id="19" name="Diamond 18"/>
        <cdr:cNvSpPr/>
      </cdr:nvSpPr>
      <cdr:spPr>
        <a:xfrm xmlns:a="http://schemas.openxmlformats.org/drawingml/2006/main">
          <a:off x="1029286" y="1435873"/>
          <a:ext cx="47055" cy="57183"/>
        </a:xfrm>
        <a:prstGeom xmlns:a="http://schemas.openxmlformats.org/drawingml/2006/main" prst="diamond">
          <a:avLst/>
        </a:prstGeom>
        <a:solidFill xmlns:a="http://schemas.openxmlformats.org/drawingml/2006/main">
          <a:sysClr val="window" lastClr="FFFFFF"/>
        </a:solidFill>
        <a:ln xmlns:a="http://schemas.openxmlformats.org/drawingml/2006/main" w="19050" cap="flat" cmpd="dbl"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endParaRPr lang="en-US"/>
        </a:p>
      </cdr:txBody>
    </cdr:sp>
  </cdr:relSizeAnchor>
  <cdr:relSizeAnchor xmlns:cdr="http://schemas.openxmlformats.org/drawingml/2006/chartDrawing">
    <cdr:from>
      <cdr:x>0.40319</cdr:x>
      <cdr:y>0.39136</cdr:y>
    </cdr:from>
    <cdr:to>
      <cdr:x>0.41065</cdr:x>
      <cdr:y>0.40596</cdr:y>
    </cdr:to>
    <cdr:sp macro="" textlink="">
      <cdr:nvSpPr>
        <cdr:cNvPr id="21" name="Diamond 20"/>
        <cdr:cNvSpPr/>
      </cdr:nvSpPr>
      <cdr:spPr>
        <a:xfrm xmlns:a="http://schemas.openxmlformats.org/drawingml/2006/main">
          <a:off x="2543891" y="1532834"/>
          <a:ext cx="47055" cy="57183"/>
        </a:xfrm>
        <a:prstGeom xmlns:a="http://schemas.openxmlformats.org/drawingml/2006/main" prst="diamond">
          <a:avLst/>
        </a:prstGeom>
        <a:solidFill xmlns:a="http://schemas.openxmlformats.org/drawingml/2006/main">
          <a:sysClr val="window" lastClr="FFFFFF"/>
        </a:solidFill>
        <a:ln xmlns:a="http://schemas.openxmlformats.org/drawingml/2006/main" w="19050" cap="flat" cmpd="dbl"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endParaRPr lang="en-US"/>
        </a:p>
      </cdr:txBody>
    </cdr:sp>
  </cdr:relSizeAnchor>
  <cdr:relSizeAnchor xmlns:cdr="http://schemas.openxmlformats.org/drawingml/2006/chartDrawing">
    <cdr:from>
      <cdr:x>0.51489</cdr:x>
      <cdr:y>0.40652</cdr:y>
    </cdr:from>
    <cdr:to>
      <cdr:x>0.52235</cdr:x>
      <cdr:y>0.42112</cdr:y>
    </cdr:to>
    <cdr:sp macro="" textlink="">
      <cdr:nvSpPr>
        <cdr:cNvPr id="22" name="Diamond 21"/>
        <cdr:cNvSpPr/>
      </cdr:nvSpPr>
      <cdr:spPr>
        <a:xfrm xmlns:a="http://schemas.openxmlformats.org/drawingml/2006/main">
          <a:off x="3248611" y="1592228"/>
          <a:ext cx="47055" cy="57182"/>
        </a:xfrm>
        <a:prstGeom xmlns:a="http://schemas.openxmlformats.org/drawingml/2006/main" prst="diamond">
          <a:avLst/>
        </a:prstGeom>
        <a:solidFill xmlns:a="http://schemas.openxmlformats.org/drawingml/2006/main">
          <a:sysClr val="window" lastClr="FFFFFF"/>
        </a:solidFill>
        <a:ln xmlns:a="http://schemas.openxmlformats.org/drawingml/2006/main" w="19050" cap="flat" cmpd="dbl"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endParaRPr lang="en-US"/>
        </a:p>
      </cdr:txBody>
    </cdr:sp>
  </cdr:relSizeAnchor>
  <cdr:relSizeAnchor xmlns:cdr="http://schemas.openxmlformats.org/drawingml/2006/chartDrawing">
    <cdr:from>
      <cdr:x>0.62432</cdr:x>
      <cdr:y>0.42208</cdr:y>
    </cdr:from>
    <cdr:to>
      <cdr:x>0.63338</cdr:x>
      <cdr:y>0.43962</cdr:y>
    </cdr:to>
    <cdr:sp macro="" textlink="">
      <cdr:nvSpPr>
        <cdr:cNvPr id="23" name="Diamond 22"/>
        <cdr:cNvSpPr/>
      </cdr:nvSpPr>
      <cdr:spPr>
        <a:xfrm xmlns:a="http://schemas.openxmlformats.org/drawingml/2006/main">
          <a:off x="4038936" y="1865404"/>
          <a:ext cx="58635" cy="77526"/>
        </a:xfrm>
        <a:prstGeom xmlns:a="http://schemas.openxmlformats.org/drawingml/2006/main" prst="diamond">
          <a:avLst/>
        </a:prstGeom>
        <a:solidFill xmlns:a="http://schemas.openxmlformats.org/drawingml/2006/main">
          <a:sysClr val="window" lastClr="FFFFFF"/>
        </a:solidFill>
        <a:ln xmlns:a="http://schemas.openxmlformats.org/drawingml/2006/main" w="9525" cap="flat" cmpd="sng"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0.15408</cdr:x>
      <cdr:y>0.22053</cdr:y>
    </cdr:from>
    <cdr:to>
      <cdr:x>0.16736</cdr:x>
      <cdr:y>0.24197</cdr:y>
    </cdr:to>
    <cdr:sp macro="" textlink="">
      <cdr:nvSpPr>
        <cdr:cNvPr id="25" name="Diamond 24"/>
        <cdr:cNvSpPr/>
      </cdr:nvSpPr>
      <cdr:spPr>
        <a:xfrm xmlns:a="http://schemas.openxmlformats.org/drawingml/2006/main">
          <a:off x="972123" y="863739"/>
          <a:ext cx="83839" cy="83975"/>
        </a:xfrm>
        <a:prstGeom xmlns:a="http://schemas.openxmlformats.org/drawingml/2006/main" prst="diamond">
          <a:avLst/>
        </a:prstGeom>
        <a:solidFill xmlns:a="http://schemas.openxmlformats.org/drawingml/2006/main">
          <a:sysClr val="windowText" lastClr="000000"/>
        </a:solidFill>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0.40433</cdr:x>
      <cdr:y>0.38282</cdr:y>
    </cdr:from>
    <cdr:to>
      <cdr:x>0.41179</cdr:x>
      <cdr:y>0.39742</cdr:y>
    </cdr:to>
    <cdr:sp macro="" textlink="">
      <cdr:nvSpPr>
        <cdr:cNvPr id="26" name="Diamond 25"/>
        <cdr:cNvSpPr/>
      </cdr:nvSpPr>
      <cdr:spPr>
        <a:xfrm xmlns:a="http://schemas.openxmlformats.org/drawingml/2006/main">
          <a:off x="2551066" y="1499381"/>
          <a:ext cx="47055" cy="57183"/>
        </a:xfrm>
        <a:prstGeom xmlns:a="http://schemas.openxmlformats.org/drawingml/2006/main" prst="diamond">
          <a:avLst/>
        </a:prstGeom>
        <a:solidFill xmlns:a="http://schemas.openxmlformats.org/drawingml/2006/main">
          <a:sysClr val="window" lastClr="FFFFFF"/>
        </a:solidFill>
        <a:ln xmlns:a="http://schemas.openxmlformats.org/drawingml/2006/main" w="19050" cap="flat" cmpd="dbl"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endParaRPr lang="en-US"/>
        </a:p>
      </cdr:txBody>
    </cdr:sp>
  </cdr:relSizeAnchor>
  <cdr:relSizeAnchor xmlns:cdr="http://schemas.openxmlformats.org/drawingml/2006/chartDrawing">
    <cdr:from>
      <cdr:x>0.16282</cdr:x>
      <cdr:y>0.08186</cdr:y>
    </cdr:from>
    <cdr:to>
      <cdr:x>0.17611</cdr:x>
      <cdr:y>0.1033</cdr:y>
    </cdr:to>
    <cdr:sp macro="" textlink="">
      <cdr:nvSpPr>
        <cdr:cNvPr id="30" name="Diamond 29"/>
        <cdr:cNvSpPr/>
      </cdr:nvSpPr>
      <cdr:spPr>
        <a:xfrm xmlns:a="http://schemas.openxmlformats.org/drawingml/2006/main">
          <a:off x="1027286" y="320628"/>
          <a:ext cx="83841" cy="83975"/>
        </a:xfrm>
        <a:prstGeom xmlns:a="http://schemas.openxmlformats.org/drawingml/2006/main" prst="diamond">
          <a:avLst/>
        </a:prstGeom>
        <a:solidFill xmlns:a="http://schemas.openxmlformats.org/drawingml/2006/main">
          <a:sysClr val="windowText" lastClr="000000"/>
        </a:solidFill>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0.40195</cdr:x>
      <cdr:y>0.36797</cdr:y>
    </cdr:from>
    <cdr:to>
      <cdr:x>0.41101</cdr:x>
      <cdr:y>0.38551</cdr:y>
    </cdr:to>
    <cdr:sp macro="" textlink="">
      <cdr:nvSpPr>
        <cdr:cNvPr id="31" name="Diamond 30"/>
        <cdr:cNvSpPr/>
      </cdr:nvSpPr>
      <cdr:spPr>
        <a:xfrm xmlns:a="http://schemas.openxmlformats.org/drawingml/2006/main">
          <a:off x="2536046" y="1441217"/>
          <a:ext cx="57184" cy="68704"/>
        </a:xfrm>
        <a:prstGeom xmlns:a="http://schemas.openxmlformats.org/drawingml/2006/main" prst="diamond">
          <a:avLst/>
        </a:prstGeom>
        <a:solidFill xmlns:a="http://schemas.openxmlformats.org/drawingml/2006/main">
          <a:sysClr val="window" lastClr="FFFFFF"/>
        </a:solidFill>
        <a:ln xmlns:a="http://schemas.openxmlformats.org/drawingml/2006/main" w="9525" cap="flat" cmpd="sng"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0.84722</cdr:x>
      <cdr:y>0.95136</cdr:y>
    </cdr:from>
    <cdr:to>
      <cdr:x>0.85447</cdr:x>
      <cdr:y>0.96304</cdr:y>
    </cdr:to>
    <cdr:sp macro="" textlink="">
      <cdr:nvSpPr>
        <cdr:cNvPr id="38" name="Flowchart: Connector 37"/>
        <cdr:cNvSpPr/>
      </cdr:nvSpPr>
      <cdr:spPr>
        <a:xfrm xmlns:a="http://schemas.openxmlformats.org/drawingml/2006/main">
          <a:off x="5345430" y="3726180"/>
          <a:ext cx="45719" cy="45720"/>
        </a:xfrm>
        <a:prstGeom xmlns:a="http://schemas.openxmlformats.org/drawingml/2006/main" prst="flowChartConnector">
          <a:avLst/>
        </a:prstGeom>
        <a:solidFill xmlns:a="http://schemas.openxmlformats.org/drawingml/2006/main">
          <a:schemeClr val="bg1"/>
        </a:solidFill>
        <a:ln xmlns:a="http://schemas.openxmlformats.org/drawingml/2006/main" w="63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0.75845</cdr:x>
      <cdr:y>0.79767</cdr:y>
    </cdr:from>
    <cdr:to>
      <cdr:x>0.76591</cdr:x>
      <cdr:y>0.81227</cdr:y>
    </cdr:to>
    <cdr:sp macro="" textlink="">
      <cdr:nvSpPr>
        <cdr:cNvPr id="39" name="Diamond 38"/>
        <cdr:cNvSpPr/>
      </cdr:nvSpPr>
      <cdr:spPr>
        <a:xfrm xmlns:a="http://schemas.openxmlformats.org/drawingml/2006/main">
          <a:off x="4785360" y="3124200"/>
          <a:ext cx="47055" cy="57183"/>
        </a:xfrm>
        <a:prstGeom xmlns:a="http://schemas.openxmlformats.org/drawingml/2006/main" prst="diamond">
          <a:avLst/>
        </a:prstGeom>
        <a:solidFill xmlns:a="http://schemas.openxmlformats.org/drawingml/2006/main">
          <a:sysClr val="window" lastClr="FFFFFF"/>
        </a:solidFill>
        <a:ln xmlns:a="http://schemas.openxmlformats.org/drawingml/2006/main" w="19050" cap="flat" cmpd="dbl"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endParaRPr lang="en-US"/>
        </a:p>
      </cdr:txBody>
    </cdr:sp>
  </cdr:relSizeAnchor>
  <cdr:relSizeAnchor xmlns:cdr="http://schemas.openxmlformats.org/drawingml/2006/chartDrawing">
    <cdr:from>
      <cdr:x>0.40278</cdr:x>
      <cdr:y>0.42607</cdr:y>
    </cdr:from>
    <cdr:to>
      <cdr:x>0.41002</cdr:x>
      <cdr:y>0.43774</cdr:y>
    </cdr:to>
    <cdr:sp macro="" textlink="">
      <cdr:nvSpPr>
        <cdr:cNvPr id="40" name="Flowchart: Connector 39"/>
        <cdr:cNvSpPr/>
      </cdr:nvSpPr>
      <cdr:spPr>
        <a:xfrm xmlns:a="http://schemas.openxmlformats.org/drawingml/2006/main">
          <a:off x="2541270" y="1668780"/>
          <a:ext cx="45719" cy="45720"/>
        </a:xfrm>
        <a:prstGeom xmlns:a="http://schemas.openxmlformats.org/drawingml/2006/main" prst="flowChartConnector">
          <a:avLst/>
        </a:prstGeom>
        <a:solidFill xmlns:a="http://schemas.openxmlformats.org/drawingml/2006/main">
          <a:schemeClr val="bg1"/>
        </a:solidFill>
        <a:ln xmlns:a="http://schemas.openxmlformats.org/drawingml/2006/main" w="6350" cap="flat" cmpd="sng"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0.16365</cdr:x>
      <cdr:y>0.64591</cdr:y>
    </cdr:from>
    <cdr:to>
      <cdr:x>0.17089</cdr:x>
      <cdr:y>0.65759</cdr:y>
    </cdr:to>
    <cdr:sp macro="" textlink="">
      <cdr:nvSpPr>
        <cdr:cNvPr id="41" name="Flowchart: Connector 40"/>
        <cdr:cNvSpPr/>
      </cdr:nvSpPr>
      <cdr:spPr>
        <a:xfrm xmlns:a="http://schemas.openxmlformats.org/drawingml/2006/main">
          <a:off x="1032510" y="2529840"/>
          <a:ext cx="45719" cy="45720"/>
        </a:xfrm>
        <a:prstGeom xmlns:a="http://schemas.openxmlformats.org/drawingml/2006/main" prst="flowChartConnector">
          <a:avLst/>
        </a:prstGeom>
        <a:solidFill xmlns:a="http://schemas.openxmlformats.org/drawingml/2006/main">
          <a:schemeClr val="bg1"/>
        </a:solidFill>
        <a:ln xmlns:a="http://schemas.openxmlformats.org/drawingml/2006/main" w="6350" cap="flat" cmpd="sng"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0.16184</cdr:x>
      <cdr:y>0.50778</cdr:y>
    </cdr:from>
    <cdr:to>
      <cdr:x>0.16908</cdr:x>
      <cdr:y>0.51946</cdr:y>
    </cdr:to>
    <cdr:sp macro="" textlink="">
      <cdr:nvSpPr>
        <cdr:cNvPr id="42" name="Flowchart: Connector 41"/>
        <cdr:cNvSpPr/>
      </cdr:nvSpPr>
      <cdr:spPr>
        <a:xfrm xmlns:a="http://schemas.openxmlformats.org/drawingml/2006/main">
          <a:off x="1021080" y="1988820"/>
          <a:ext cx="45719" cy="45720"/>
        </a:xfrm>
        <a:prstGeom xmlns:a="http://schemas.openxmlformats.org/drawingml/2006/main" prst="flowChartConnector">
          <a:avLst/>
        </a:prstGeom>
        <a:solidFill xmlns:a="http://schemas.openxmlformats.org/drawingml/2006/main">
          <a:sysClr val="window" lastClr="FFFFFF"/>
        </a:solidFill>
        <a:ln xmlns:a="http://schemas.openxmlformats.org/drawingml/2006/main" w="6350" cap="flat" cmpd="sng"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0.76329</cdr:x>
      <cdr:y>0.43969</cdr:y>
    </cdr:from>
    <cdr:to>
      <cdr:x>0.77053</cdr:x>
      <cdr:y>0.45136</cdr:y>
    </cdr:to>
    <cdr:sp macro="" textlink="">
      <cdr:nvSpPr>
        <cdr:cNvPr id="43" name="Flowchart: Connector 42"/>
        <cdr:cNvSpPr/>
      </cdr:nvSpPr>
      <cdr:spPr>
        <a:xfrm xmlns:a="http://schemas.openxmlformats.org/drawingml/2006/main">
          <a:off x="4815840" y="1722120"/>
          <a:ext cx="45719" cy="45720"/>
        </a:xfrm>
        <a:prstGeom xmlns:a="http://schemas.openxmlformats.org/drawingml/2006/main" prst="flowChartConnector">
          <a:avLst/>
        </a:prstGeom>
        <a:solidFill xmlns:a="http://schemas.openxmlformats.org/drawingml/2006/main">
          <a:sysClr val="window" lastClr="FFFFFF"/>
        </a:solidFill>
        <a:ln xmlns:a="http://schemas.openxmlformats.org/drawingml/2006/main" w="6350" cap="flat" cmpd="sng"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0.76087</cdr:x>
      <cdr:y>0.62062</cdr:y>
    </cdr:from>
    <cdr:to>
      <cdr:x>0.76812</cdr:x>
      <cdr:y>0.6323</cdr:y>
    </cdr:to>
    <cdr:sp macro="" textlink="">
      <cdr:nvSpPr>
        <cdr:cNvPr id="44" name="Flowchart: Connector 43"/>
        <cdr:cNvSpPr/>
      </cdr:nvSpPr>
      <cdr:spPr>
        <a:xfrm xmlns:a="http://schemas.openxmlformats.org/drawingml/2006/main">
          <a:off x="4800600" y="2430780"/>
          <a:ext cx="45719" cy="45720"/>
        </a:xfrm>
        <a:prstGeom xmlns:a="http://schemas.openxmlformats.org/drawingml/2006/main" prst="flowChartConnector">
          <a:avLst/>
        </a:prstGeom>
        <a:solidFill xmlns:a="http://schemas.openxmlformats.org/drawingml/2006/main">
          <a:sysClr val="window" lastClr="FFFFFF"/>
        </a:solidFill>
        <a:ln xmlns:a="http://schemas.openxmlformats.org/drawingml/2006/main" w="6350" cap="flat" cmpd="sng"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0.62258</cdr:x>
      <cdr:y>0.53113</cdr:y>
    </cdr:from>
    <cdr:to>
      <cdr:x>0.62983</cdr:x>
      <cdr:y>0.5428</cdr:y>
    </cdr:to>
    <cdr:sp macro="" textlink="">
      <cdr:nvSpPr>
        <cdr:cNvPr id="46" name="Flowchart: Connector 45"/>
        <cdr:cNvSpPr/>
      </cdr:nvSpPr>
      <cdr:spPr>
        <a:xfrm xmlns:a="http://schemas.openxmlformats.org/drawingml/2006/main">
          <a:off x="3928110" y="2080260"/>
          <a:ext cx="45719" cy="45720"/>
        </a:xfrm>
        <a:prstGeom xmlns:a="http://schemas.openxmlformats.org/drawingml/2006/main" prst="flowChartConnector">
          <a:avLst/>
        </a:prstGeom>
        <a:solidFill xmlns:a="http://schemas.openxmlformats.org/drawingml/2006/main">
          <a:sysClr val="window" lastClr="FFFFFF"/>
        </a:solidFill>
        <a:ln xmlns:a="http://schemas.openxmlformats.org/drawingml/2006/main" w="6350" cap="flat" cmpd="sng"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0.5157</cdr:x>
      <cdr:y>0.45914</cdr:y>
    </cdr:from>
    <cdr:to>
      <cdr:x>0.52295</cdr:x>
      <cdr:y>0.47082</cdr:y>
    </cdr:to>
    <cdr:sp macro="" textlink="">
      <cdr:nvSpPr>
        <cdr:cNvPr id="47" name="Flowchart: Connector 46"/>
        <cdr:cNvSpPr/>
      </cdr:nvSpPr>
      <cdr:spPr>
        <a:xfrm xmlns:a="http://schemas.openxmlformats.org/drawingml/2006/main">
          <a:off x="3253740" y="1798320"/>
          <a:ext cx="45719" cy="45720"/>
        </a:xfrm>
        <a:prstGeom xmlns:a="http://schemas.openxmlformats.org/drawingml/2006/main" prst="flowChartConnector">
          <a:avLst/>
        </a:prstGeom>
        <a:solidFill xmlns:a="http://schemas.openxmlformats.org/drawingml/2006/main">
          <a:sysClr val="window" lastClr="FFFFFF"/>
        </a:solidFill>
        <a:ln xmlns:a="http://schemas.openxmlformats.org/drawingml/2006/main" w="6350" cap="flat" cmpd="sng"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0.51329</cdr:x>
      <cdr:y>0.50778</cdr:y>
    </cdr:from>
    <cdr:to>
      <cdr:x>0.52053</cdr:x>
      <cdr:y>0.51946</cdr:y>
    </cdr:to>
    <cdr:sp macro="" textlink="">
      <cdr:nvSpPr>
        <cdr:cNvPr id="48" name="Flowchart: Connector 47"/>
        <cdr:cNvSpPr/>
      </cdr:nvSpPr>
      <cdr:spPr>
        <a:xfrm xmlns:a="http://schemas.openxmlformats.org/drawingml/2006/main">
          <a:off x="3238500" y="1988820"/>
          <a:ext cx="45719" cy="45720"/>
        </a:xfrm>
        <a:prstGeom xmlns:a="http://schemas.openxmlformats.org/drawingml/2006/main" prst="flowChartConnector">
          <a:avLst/>
        </a:prstGeom>
        <a:solidFill xmlns:a="http://schemas.openxmlformats.org/drawingml/2006/main">
          <a:sysClr val="window" lastClr="FFFFFF"/>
        </a:solidFill>
        <a:ln xmlns:a="http://schemas.openxmlformats.org/drawingml/2006/main" w="6350" cap="flat" cmpd="sng"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0.62198</cdr:x>
      <cdr:y>0.63424</cdr:y>
    </cdr:from>
    <cdr:to>
      <cdr:x>0.62923</cdr:x>
      <cdr:y>0.64591</cdr:y>
    </cdr:to>
    <cdr:sp macro="" textlink="">
      <cdr:nvSpPr>
        <cdr:cNvPr id="50" name="Flowchart: Connector 49"/>
        <cdr:cNvSpPr/>
      </cdr:nvSpPr>
      <cdr:spPr>
        <a:xfrm xmlns:a="http://schemas.openxmlformats.org/drawingml/2006/main">
          <a:off x="3924300" y="2484120"/>
          <a:ext cx="45719" cy="45720"/>
        </a:xfrm>
        <a:prstGeom xmlns:a="http://schemas.openxmlformats.org/drawingml/2006/main" prst="flowChartConnector">
          <a:avLst/>
        </a:prstGeom>
        <a:solidFill xmlns:a="http://schemas.openxmlformats.org/drawingml/2006/main">
          <a:sysClr val="window" lastClr="FFFFFF"/>
        </a:solidFill>
        <a:ln xmlns:a="http://schemas.openxmlformats.org/drawingml/2006/main" w="6350" cap="flat" cmpd="sng" algn="ctr">
          <a:solidFill>
            <a:sysClr val="windowText" lastClr="0000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5A1508-83F2-46EC-8957-F42D42F8B67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4F695-84F3-4EC0-B64A-EFB10DD1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16996</Words>
  <Characters>90083</Characters>
  <Application>Microsoft Office Word</Application>
  <DocSecurity>0</DocSecurity>
  <Lines>750</Lines>
  <Paragraphs>213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alokm33</dc:creator>
  <cp:lastModifiedBy>Kenneth Henning Wathne</cp:lastModifiedBy>
  <cp:revision>3</cp:revision>
  <cp:lastPrinted>2018-08-03T08:19:00Z</cp:lastPrinted>
  <dcterms:created xsi:type="dcterms:W3CDTF">2019-02-07T09:12:00Z</dcterms:created>
  <dcterms:modified xsi:type="dcterms:W3CDTF">2019-02-07T09:14:00Z</dcterms:modified>
</cp:coreProperties>
</file>