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1B96" w14:textId="77777777" w:rsidR="003939A7" w:rsidRPr="003939A7" w:rsidRDefault="003939A7" w:rsidP="003939A7">
      <w:pPr>
        <w:spacing w:after="0" w:line="360" w:lineRule="auto"/>
        <w:jc w:val="both"/>
        <w:rPr>
          <w:b/>
        </w:rPr>
      </w:pPr>
      <w:r w:rsidRPr="003939A7">
        <w:rPr>
          <w:b/>
        </w:rPr>
        <w:t xml:space="preserve">Locating oneself in the past to influence the present: Impacts of Neolithic landscapes on mental health well-being </w:t>
      </w:r>
    </w:p>
    <w:p w14:paraId="375A24FB" w14:textId="77777777" w:rsidR="003939A7" w:rsidRPr="003939A7" w:rsidRDefault="003939A7" w:rsidP="003939A7">
      <w:pPr>
        <w:spacing w:after="0" w:line="360" w:lineRule="auto"/>
        <w:jc w:val="both"/>
        <w:rPr>
          <w:b/>
        </w:rPr>
      </w:pPr>
    </w:p>
    <w:p w14:paraId="184982B5" w14:textId="65D1F659" w:rsidR="003939A7" w:rsidRPr="003939A7" w:rsidRDefault="003939A7" w:rsidP="003939A7">
      <w:pPr>
        <w:spacing w:after="0" w:line="360" w:lineRule="auto"/>
        <w:jc w:val="both"/>
        <w:rPr>
          <w:vertAlign w:val="superscript"/>
        </w:rPr>
      </w:pPr>
      <w:r w:rsidRPr="003939A7">
        <w:t xml:space="preserve">Dr Vanessa Heaslip¹, </w:t>
      </w:r>
      <w:r w:rsidRPr="003939A7">
        <w:rPr>
          <w:vertAlign w:val="superscript"/>
        </w:rPr>
        <w:t>2</w:t>
      </w:r>
      <w:r w:rsidRPr="003939A7">
        <w:t>* Dr Mariam Vahdaninia¹, Dr Martin Hind</w:t>
      </w:r>
      <w:r w:rsidRPr="003939A7">
        <w:rPr>
          <w:vertAlign w:val="superscript"/>
        </w:rPr>
        <w:t>1</w:t>
      </w:r>
      <w:r w:rsidRPr="003939A7">
        <w:t xml:space="preserve">, Prof Tim Darvill </w:t>
      </w:r>
      <w:r w:rsidRPr="003939A7">
        <w:rPr>
          <w:vertAlign w:val="superscript"/>
        </w:rPr>
        <w:t>3</w:t>
      </w:r>
      <w:r w:rsidRPr="003939A7">
        <w:t>, Yvette Staelens</w:t>
      </w:r>
      <w:r w:rsidRPr="003939A7">
        <w:rPr>
          <w:vertAlign w:val="superscript"/>
        </w:rPr>
        <w:t>3</w:t>
      </w:r>
      <w:r w:rsidRPr="003939A7">
        <w:t xml:space="preserve">, Daniel </w:t>
      </w:r>
      <w:r w:rsidRPr="003939A7">
        <w:t>O’Donoghue</w:t>
      </w:r>
      <w:r w:rsidRPr="003939A7">
        <w:rPr>
          <w:vertAlign w:val="superscript"/>
        </w:rPr>
        <w:t>4</w:t>
      </w:r>
      <w:r w:rsidRPr="003939A7">
        <w:t>,</w:t>
      </w:r>
      <w:r w:rsidRPr="003939A7">
        <w:t xml:space="preserve"> Laura Drysdale</w:t>
      </w:r>
      <w:r w:rsidRPr="003939A7">
        <w:rPr>
          <w:vertAlign w:val="superscript"/>
        </w:rPr>
        <w:t>5</w:t>
      </w:r>
      <w:r w:rsidRPr="003939A7">
        <w:t>, Dr</w:t>
      </w:r>
      <w:r w:rsidRPr="003939A7">
        <w:t xml:space="preserve"> Sara Lunt</w:t>
      </w:r>
      <w:r w:rsidRPr="003939A7">
        <w:rPr>
          <w:vertAlign w:val="superscript"/>
        </w:rPr>
        <w:t>5</w:t>
      </w:r>
      <w:r w:rsidRPr="003939A7">
        <w:t>, Chris Hogg</w:t>
      </w:r>
      <w:r w:rsidRPr="003939A7">
        <w:rPr>
          <w:vertAlign w:val="superscript"/>
        </w:rPr>
        <w:t>4</w:t>
      </w:r>
      <w:r w:rsidRPr="003939A7">
        <w:t>, Martin Allfrey</w:t>
      </w:r>
      <w:r w:rsidRPr="003939A7">
        <w:rPr>
          <w:vertAlign w:val="superscript"/>
        </w:rPr>
        <w:t>6</w:t>
      </w:r>
      <w:r w:rsidRPr="003939A7">
        <w:t>, Briony Clifton</w:t>
      </w:r>
      <w:r w:rsidRPr="003939A7">
        <w:rPr>
          <w:vertAlign w:val="superscript"/>
        </w:rPr>
        <w:t>7</w:t>
      </w:r>
      <w:r w:rsidRPr="003939A7">
        <w:t>, Toby Sutcliffe</w:t>
      </w:r>
      <w:r w:rsidRPr="003939A7">
        <w:rPr>
          <w:vertAlign w:val="superscript"/>
        </w:rPr>
        <w:t>7</w:t>
      </w:r>
    </w:p>
    <w:p w14:paraId="6BB68E53" w14:textId="77777777" w:rsidR="003939A7" w:rsidRPr="003939A7" w:rsidRDefault="003939A7" w:rsidP="003939A7">
      <w:pPr>
        <w:spacing w:after="0" w:line="360" w:lineRule="auto"/>
        <w:jc w:val="both"/>
      </w:pPr>
    </w:p>
    <w:p w14:paraId="57282535" w14:textId="34ACCEB2" w:rsidR="003939A7" w:rsidRPr="003939A7" w:rsidRDefault="003939A7" w:rsidP="003939A7">
      <w:pPr>
        <w:spacing w:after="0" w:line="360" w:lineRule="auto"/>
        <w:jc w:val="both"/>
      </w:pPr>
      <w:r w:rsidRPr="003939A7">
        <w:t>¹ Department of Nursing Sciences, Faculty of Health and Social Sci</w:t>
      </w:r>
      <w:bookmarkStart w:id="0" w:name="_GoBack"/>
      <w:bookmarkEnd w:id="0"/>
      <w:r w:rsidRPr="003939A7">
        <w:t xml:space="preserve">ences, Bournemouth University, Christchurch Road, Bournemouth BH1 3LH, UK. Email: </w:t>
      </w:r>
      <w:hyperlink r:id="rId8" w:history="1">
        <w:r w:rsidRPr="003939A7">
          <w:rPr>
            <w:rStyle w:val="Hyperlink"/>
          </w:rPr>
          <w:t>vheaslip@bournemouth.ac.uk</w:t>
        </w:r>
      </w:hyperlink>
      <w:r w:rsidRPr="003939A7">
        <w:t xml:space="preserve"> </w:t>
      </w:r>
      <w:r w:rsidRPr="003939A7">
        <w:t xml:space="preserve">; </w:t>
      </w:r>
      <w:hyperlink r:id="rId9" w:history="1">
        <w:r w:rsidRPr="003939A7">
          <w:rPr>
            <w:rStyle w:val="Hyperlink"/>
          </w:rPr>
          <w:t>mvahdaninia@bournemouth.ac.uk</w:t>
        </w:r>
      </w:hyperlink>
      <w:r w:rsidRPr="003939A7">
        <w:t xml:space="preserve"> </w:t>
      </w:r>
      <w:r w:rsidRPr="003939A7">
        <w:t xml:space="preserve">; </w:t>
      </w:r>
      <w:hyperlink r:id="rId10" w:history="1">
        <w:r w:rsidRPr="003939A7">
          <w:rPr>
            <w:rStyle w:val="Hyperlink"/>
          </w:rPr>
          <w:t>MHind@bournemouth.ac.uk</w:t>
        </w:r>
      </w:hyperlink>
      <w:r w:rsidRPr="003939A7">
        <w:t xml:space="preserve"> </w:t>
      </w:r>
      <w:r w:rsidRPr="003939A7">
        <w:t xml:space="preserve"> </w:t>
      </w:r>
    </w:p>
    <w:p w14:paraId="3A2838B9" w14:textId="77777777" w:rsidR="003939A7" w:rsidRPr="003939A7" w:rsidRDefault="003939A7" w:rsidP="003939A7">
      <w:pPr>
        <w:spacing w:after="0" w:line="360" w:lineRule="auto"/>
        <w:jc w:val="both"/>
      </w:pPr>
      <w:r w:rsidRPr="003939A7">
        <w:rPr>
          <w:vertAlign w:val="superscript"/>
        </w:rPr>
        <w:t>2</w:t>
      </w:r>
      <w:r w:rsidRPr="003939A7">
        <w:t xml:space="preserve"> Department of Social Work, Faculty of Social Science, University of Stavanger, Norway.</w:t>
      </w:r>
    </w:p>
    <w:p w14:paraId="3414DC36" w14:textId="2086ECE5" w:rsidR="003939A7" w:rsidRPr="003939A7" w:rsidRDefault="003939A7" w:rsidP="003939A7">
      <w:pPr>
        <w:spacing w:after="0" w:line="360" w:lineRule="auto"/>
        <w:jc w:val="both"/>
      </w:pPr>
      <w:r w:rsidRPr="003939A7">
        <w:rPr>
          <w:vertAlign w:val="superscript"/>
        </w:rPr>
        <w:t>3</w:t>
      </w:r>
      <w:r w:rsidRPr="003939A7">
        <w:t xml:space="preserve"> Department of Archaeology, Anthropology and Forensic Science, Faculty of Science and Technology, Bournemouth University, Dorset BH12 5BB, UK. Email: </w:t>
      </w:r>
      <w:hyperlink r:id="rId11" w:history="1">
        <w:r w:rsidRPr="003939A7">
          <w:rPr>
            <w:rStyle w:val="Hyperlink"/>
          </w:rPr>
          <w:t>tdarvill@bournemouth.ac.uk</w:t>
        </w:r>
      </w:hyperlink>
      <w:r w:rsidRPr="003939A7">
        <w:t xml:space="preserve"> ; </w:t>
      </w:r>
      <w:hyperlink r:id="rId12" w:history="1">
        <w:r w:rsidRPr="003939A7">
          <w:rPr>
            <w:rStyle w:val="Hyperlink"/>
          </w:rPr>
          <w:t>ystaelens@bournemouth.ac.uk</w:t>
        </w:r>
      </w:hyperlink>
      <w:r w:rsidRPr="003939A7">
        <w:t xml:space="preserve"> </w:t>
      </w:r>
    </w:p>
    <w:p w14:paraId="1F50D6A4" w14:textId="32A1B367" w:rsidR="003939A7" w:rsidRPr="003939A7" w:rsidRDefault="003939A7" w:rsidP="003939A7">
      <w:pPr>
        <w:spacing w:after="0" w:line="360" w:lineRule="auto"/>
        <w:jc w:val="both"/>
      </w:pPr>
      <w:r w:rsidRPr="003939A7">
        <w:rPr>
          <w:vertAlign w:val="superscript"/>
        </w:rPr>
        <w:t xml:space="preserve">4 </w:t>
      </w:r>
      <w:r w:rsidRPr="003939A7">
        <w:t>Richmond Fellowship, Office H Unit 1A, Bath Road Business centre, Devizes SN10 1XA, UK. Email: daniel.odonoghue@richmondfellowship.org.uk</w:t>
      </w:r>
      <w:r w:rsidRPr="003939A7">
        <w:t xml:space="preserve">; </w:t>
      </w:r>
      <w:hyperlink r:id="rId13" w:history="1">
        <w:r w:rsidRPr="003939A7">
          <w:rPr>
            <w:rStyle w:val="Hyperlink"/>
          </w:rPr>
          <w:t>chrishogg@chogg.com</w:t>
        </w:r>
      </w:hyperlink>
      <w:r w:rsidRPr="003939A7">
        <w:t xml:space="preserve"> </w:t>
      </w:r>
    </w:p>
    <w:p w14:paraId="7B470EF1" w14:textId="7947FC9D" w:rsidR="003939A7" w:rsidRPr="003939A7" w:rsidRDefault="003939A7" w:rsidP="003939A7">
      <w:pPr>
        <w:spacing w:after="0" w:line="360" w:lineRule="auto"/>
        <w:jc w:val="both"/>
      </w:pPr>
      <w:r w:rsidRPr="003939A7">
        <w:rPr>
          <w:vertAlign w:val="superscript"/>
        </w:rPr>
        <w:t>5</w:t>
      </w:r>
      <w:r w:rsidRPr="003939A7">
        <w:t xml:space="preserve"> Restoration Trust, 38 Kitson Road, London SE5 7LF, UK.  Email: laura@restorationtrust.org.uk; </w:t>
      </w:r>
      <w:hyperlink r:id="rId14" w:history="1">
        <w:r w:rsidRPr="003939A7">
          <w:rPr>
            <w:rStyle w:val="Hyperlink"/>
          </w:rPr>
          <w:t>saralunt13@gmail.com</w:t>
        </w:r>
      </w:hyperlink>
      <w:r w:rsidRPr="003939A7">
        <w:t xml:space="preserve"> </w:t>
      </w:r>
      <w:r w:rsidRPr="003939A7">
        <w:t xml:space="preserve"> </w:t>
      </w:r>
    </w:p>
    <w:p w14:paraId="70152AAF" w14:textId="06821FC1" w:rsidR="003939A7" w:rsidRPr="003939A7" w:rsidRDefault="003939A7" w:rsidP="003939A7">
      <w:pPr>
        <w:spacing w:after="0" w:line="360" w:lineRule="auto"/>
        <w:jc w:val="both"/>
      </w:pPr>
      <w:r w:rsidRPr="003939A7">
        <w:rPr>
          <w:vertAlign w:val="superscript"/>
        </w:rPr>
        <w:t>6</w:t>
      </w:r>
      <w:r w:rsidRPr="003939A7">
        <w:t xml:space="preserve"> English Heritage, English Heritage Collections Store, Trident Works, Temple Cloud, Bristol BS39 5AZ, UK. Email </w:t>
      </w:r>
      <w:hyperlink r:id="rId15" w:history="1">
        <w:r w:rsidRPr="003939A7">
          <w:rPr>
            <w:rStyle w:val="Hyperlink"/>
          </w:rPr>
          <w:t>Martin.allfrey@english-heritage.org.uk</w:t>
        </w:r>
      </w:hyperlink>
      <w:r w:rsidRPr="003939A7">
        <w:t xml:space="preserve"> </w:t>
      </w:r>
    </w:p>
    <w:p w14:paraId="7713746E" w14:textId="2733FB6E" w:rsidR="003939A7" w:rsidRPr="003939A7" w:rsidRDefault="003939A7" w:rsidP="003939A7">
      <w:pPr>
        <w:spacing w:after="0" w:line="360" w:lineRule="auto"/>
        <w:jc w:val="both"/>
      </w:pPr>
      <w:r w:rsidRPr="003939A7">
        <w:rPr>
          <w:vertAlign w:val="superscript"/>
        </w:rPr>
        <w:t>7</w:t>
      </w:r>
      <w:r w:rsidRPr="003939A7">
        <w:t xml:space="preserve"> The National Trust, National Trust, Alexander Keiller Museum, High Street, Avebury, Wiltshire SN8 1RF. Email: </w:t>
      </w:r>
      <w:hyperlink r:id="rId16" w:history="1">
        <w:r w:rsidRPr="003939A7">
          <w:rPr>
            <w:rStyle w:val="Hyperlink"/>
          </w:rPr>
          <w:t>briony.clifton@nationaltrust.org.uk</w:t>
        </w:r>
      </w:hyperlink>
      <w:r w:rsidRPr="003939A7">
        <w:t xml:space="preserve"> </w:t>
      </w:r>
    </w:p>
    <w:p w14:paraId="40669FB7" w14:textId="5157CB1A" w:rsidR="003939A7" w:rsidRPr="003939A7" w:rsidRDefault="003939A7" w:rsidP="003939A7">
      <w:pPr>
        <w:spacing w:after="0" w:line="360" w:lineRule="auto"/>
        <w:jc w:val="both"/>
      </w:pPr>
      <w:r w:rsidRPr="003939A7">
        <w:rPr>
          <w:vertAlign w:val="superscript"/>
        </w:rPr>
        <w:t>8</w:t>
      </w:r>
      <w:r w:rsidRPr="003939A7">
        <w:t xml:space="preserve"> Avon and Wiltshire Mental Health Partnership NHS Trust, Green Lane Hospital, Marshall Road, Devizes, Wiltshire SN10 5DS. Email: </w:t>
      </w:r>
      <w:hyperlink r:id="rId17" w:history="1">
        <w:r w:rsidRPr="003939A7">
          <w:rPr>
            <w:rStyle w:val="Hyperlink"/>
          </w:rPr>
          <w:t>toby.sutcliffe@nhs.net</w:t>
        </w:r>
      </w:hyperlink>
    </w:p>
    <w:p w14:paraId="557EF977" w14:textId="77777777" w:rsidR="003939A7" w:rsidRPr="003939A7" w:rsidRDefault="003939A7" w:rsidP="003939A7">
      <w:pPr>
        <w:spacing w:after="0" w:line="360" w:lineRule="auto"/>
        <w:jc w:val="both"/>
      </w:pPr>
    </w:p>
    <w:p w14:paraId="3C09FDC8" w14:textId="1DD27895" w:rsidR="003939A7" w:rsidRPr="003939A7" w:rsidRDefault="003939A7" w:rsidP="003939A7">
      <w:pPr>
        <w:spacing w:after="0" w:line="360" w:lineRule="auto"/>
        <w:jc w:val="both"/>
      </w:pPr>
      <w:r w:rsidRPr="003939A7">
        <w:t xml:space="preserve">*Corresponding author Dr Vanessa Heaslip, </w:t>
      </w:r>
      <w:r w:rsidRPr="003939A7">
        <w:t>Associate Professor</w:t>
      </w:r>
      <w:r w:rsidRPr="003939A7">
        <w:t xml:space="preserve"> Department of Nursing Science, Bournemouth University, UK. Email: </w:t>
      </w:r>
      <w:hyperlink r:id="rId18" w:history="1">
        <w:r w:rsidRPr="003939A7">
          <w:rPr>
            <w:rStyle w:val="Hyperlink"/>
          </w:rPr>
          <w:t>vheaslip@bournemouth.ac.uk</w:t>
        </w:r>
      </w:hyperlink>
      <w:r w:rsidRPr="003939A7">
        <w:t xml:space="preserve"> </w:t>
      </w:r>
      <w:r w:rsidRPr="003939A7">
        <w:t xml:space="preserve"> </w:t>
      </w:r>
    </w:p>
    <w:p w14:paraId="6659B460" w14:textId="77777777" w:rsidR="003939A7" w:rsidRPr="003939A7" w:rsidRDefault="003939A7" w:rsidP="003939A7">
      <w:pPr>
        <w:spacing w:after="0" w:line="360" w:lineRule="auto"/>
        <w:jc w:val="both"/>
      </w:pPr>
    </w:p>
    <w:p w14:paraId="1A69B519" w14:textId="77777777" w:rsidR="003939A7" w:rsidRPr="003939A7" w:rsidRDefault="003939A7" w:rsidP="003939A7">
      <w:pPr>
        <w:spacing w:after="0" w:line="360" w:lineRule="auto"/>
        <w:jc w:val="both"/>
      </w:pPr>
      <w:r w:rsidRPr="003939A7">
        <w:t>Acknowledgements:  we wish to thank all those who participated in the Human Henge programme and supported it in so many different ways.</w:t>
      </w:r>
    </w:p>
    <w:p w14:paraId="64553AF9" w14:textId="77777777" w:rsidR="003939A7" w:rsidRPr="003939A7" w:rsidRDefault="003939A7" w:rsidP="003939A7">
      <w:pPr>
        <w:spacing w:after="0" w:line="360" w:lineRule="auto"/>
        <w:jc w:val="both"/>
      </w:pPr>
      <w:r w:rsidRPr="003939A7">
        <w:t>Declarations of interest: none.</w:t>
      </w:r>
    </w:p>
    <w:p w14:paraId="31B431EB" w14:textId="54DA1676" w:rsidR="003939A7" w:rsidRPr="003939A7" w:rsidRDefault="003939A7" w:rsidP="003939A7">
      <w:pPr>
        <w:spacing w:after="0" w:line="360" w:lineRule="auto"/>
        <w:jc w:val="both"/>
      </w:pPr>
      <w:r w:rsidRPr="003939A7">
        <w:t>Funding: this work was supported by the Heritage Lottery Fund [grant number OH-16-00165 - HH Stonehenge]</w:t>
      </w:r>
      <w:r w:rsidRPr="003939A7">
        <w:t>;</w:t>
      </w:r>
      <w:r w:rsidRPr="003939A7">
        <w:t xml:space="preserve"> English Heritage, The National Trust, Bournemouth University, The Richmond </w:t>
      </w:r>
      <w:r w:rsidRPr="003939A7">
        <w:lastRenderedPageBreak/>
        <w:t xml:space="preserve">Fellowship, Restoration Trust, Avon and Wiltshire Mental Health Partnership NHS Trust, and Wiltshire County Council.   </w:t>
      </w:r>
    </w:p>
    <w:p w14:paraId="68EBC69B" w14:textId="77777777" w:rsidR="003939A7" w:rsidRPr="003939A7" w:rsidRDefault="003939A7" w:rsidP="00876312">
      <w:pPr>
        <w:spacing w:after="0" w:line="360" w:lineRule="auto"/>
        <w:jc w:val="both"/>
      </w:pPr>
    </w:p>
    <w:p w14:paraId="29C1DBA6" w14:textId="77777777" w:rsidR="00CB7EE0" w:rsidRPr="003939A7" w:rsidRDefault="00CB7EE0" w:rsidP="00876312">
      <w:pPr>
        <w:spacing w:after="0" w:line="360" w:lineRule="auto"/>
        <w:jc w:val="both"/>
      </w:pPr>
      <w:r w:rsidRPr="003939A7">
        <w:rPr>
          <w:b/>
        </w:rPr>
        <w:t>Abstract</w:t>
      </w:r>
      <w:r w:rsidRPr="003939A7">
        <w:t xml:space="preserve"> </w:t>
      </w:r>
    </w:p>
    <w:p w14:paraId="0D14361E" w14:textId="5AEAB2AD" w:rsidR="00744878" w:rsidRPr="003939A7" w:rsidRDefault="00615AE0" w:rsidP="00876312">
      <w:pPr>
        <w:spacing w:after="0" w:line="360" w:lineRule="auto"/>
        <w:jc w:val="both"/>
      </w:pPr>
      <w:r w:rsidRPr="003939A7">
        <w:t xml:space="preserve">There are </w:t>
      </w:r>
      <w:r w:rsidR="008D2D3B" w:rsidRPr="003939A7">
        <w:t>well-</w:t>
      </w:r>
      <w:r w:rsidRPr="003939A7">
        <w:t>establis</w:t>
      </w:r>
      <w:r w:rsidR="008D2D3B" w:rsidRPr="003939A7">
        <w:t xml:space="preserve">hed links between mental health </w:t>
      </w:r>
      <w:r w:rsidRPr="003939A7">
        <w:t>and the environment. Mental illness is a global issue</w:t>
      </w:r>
      <w:r w:rsidR="00BF4219" w:rsidRPr="003939A7">
        <w:t>,</w:t>
      </w:r>
      <w:r w:rsidRPr="003939A7">
        <w:t xml:space="preserve"> </w:t>
      </w:r>
      <w:r w:rsidR="0093191F" w:rsidRPr="003939A7">
        <w:t>and i</w:t>
      </w:r>
      <w:r w:rsidR="00744878" w:rsidRPr="003939A7">
        <w:t xml:space="preserve">nternational </w:t>
      </w:r>
      <w:r w:rsidR="000F5D3E" w:rsidRPr="003939A7">
        <w:t>polic</w:t>
      </w:r>
      <w:r w:rsidRPr="003939A7">
        <w:t>ies</w:t>
      </w:r>
      <w:r w:rsidR="00744878" w:rsidRPr="003939A7">
        <w:t xml:space="preserve"> </w:t>
      </w:r>
      <w:r w:rsidR="008D2D3B" w:rsidRPr="003939A7">
        <w:t xml:space="preserve">increasingly </w:t>
      </w:r>
      <w:r w:rsidR="00744878" w:rsidRPr="003939A7">
        <w:t xml:space="preserve">focus on promoting mental </w:t>
      </w:r>
      <w:r w:rsidR="008D2D3B" w:rsidRPr="003939A7">
        <w:t xml:space="preserve">health </w:t>
      </w:r>
      <w:r w:rsidR="00744878" w:rsidRPr="003939A7">
        <w:t>well</w:t>
      </w:r>
      <w:r w:rsidR="00D06F8B" w:rsidRPr="003939A7">
        <w:t>-</w:t>
      </w:r>
      <w:r w:rsidR="00744878" w:rsidRPr="003939A7">
        <w:t>being through community</w:t>
      </w:r>
      <w:r w:rsidR="00BF4219" w:rsidRPr="003939A7">
        <w:t>-</w:t>
      </w:r>
      <w:r w:rsidR="00744878" w:rsidRPr="003939A7">
        <w:t>based approaches</w:t>
      </w:r>
      <w:r w:rsidR="005A19F3" w:rsidRPr="003939A7">
        <w:t>, includ</w:t>
      </w:r>
      <w:r w:rsidR="000F5D3E" w:rsidRPr="003939A7">
        <w:t>ing</w:t>
      </w:r>
      <w:r w:rsidR="005A19F3" w:rsidRPr="003939A7">
        <w:t xml:space="preserve"> non-clinical initiatives such as </w:t>
      </w:r>
      <w:r w:rsidR="00ED0E91" w:rsidRPr="003939A7">
        <w:t xml:space="preserve">therapeutic landscapes </w:t>
      </w:r>
      <w:r w:rsidR="00744878" w:rsidRPr="003939A7">
        <w:t xml:space="preserve">and </w:t>
      </w:r>
      <w:r w:rsidR="008D2D3B" w:rsidRPr="003939A7">
        <w:t xml:space="preserve">the use of </w:t>
      </w:r>
      <w:r w:rsidR="00744878" w:rsidRPr="003939A7">
        <w:t>heritage</w:t>
      </w:r>
      <w:r w:rsidR="008D2D3B" w:rsidRPr="003939A7">
        <w:t xml:space="preserve"> assets</w:t>
      </w:r>
      <w:r w:rsidR="00744878" w:rsidRPr="003939A7">
        <w:t>. However</w:t>
      </w:r>
      <w:r w:rsidR="00BF4219" w:rsidRPr="003939A7">
        <w:t>,</w:t>
      </w:r>
      <w:r w:rsidR="00744878" w:rsidRPr="003939A7">
        <w:t xml:space="preserve"> the </w:t>
      </w:r>
      <w:r w:rsidR="005A19F3" w:rsidRPr="003939A7">
        <w:t>empirical</w:t>
      </w:r>
      <w:r w:rsidR="00744878" w:rsidRPr="003939A7">
        <w:t xml:space="preserve"> evidence</w:t>
      </w:r>
      <w:r w:rsidR="00BF4219" w:rsidRPr="003939A7">
        <w:t>-</w:t>
      </w:r>
      <w:r w:rsidR="005A19F3" w:rsidRPr="003939A7">
        <w:t xml:space="preserve">base </w:t>
      </w:r>
      <w:r w:rsidR="008D2D3B" w:rsidRPr="003939A7">
        <w:t>for</w:t>
      </w:r>
      <w:r w:rsidR="005A19F3" w:rsidRPr="003939A7">
        <w:t xml:space="preserve"> the impact of such initiatives is</w:t>
      </w:r>
      <w:r w:rsidR="00744878" w:rsidRPr="003939A7">
        <w:t xml:space="preserve"> limited. This</w:t>
      </w:r>
      <w:r w:rsidR="0000467E" w:rsidRPr="003939A7">
        <w:t xml:space="preserve"> </w:t>
      </w:r>
      <w:r w:rsidRPr="003939A7">
        <w:t xml:space="preserve">innovative </w:t>
      </w:r>
      <w:r w:rsidR="0000467E" w:rsidRPr="003939A7">
        <w:t>study</w:t>
      </w:r>
      <w:r w:rsidR="007023D5" w:rsidRPr="003939A7">
        <w:t>, known as Human Henge,</w:t>
      </w:r>
      <w:r w:rsidR="0000467E" w:rsidRPr="003939A7">
        <w:t xml:space="preserve"> </w:t>
      </w:r>
      <w:r w:rsidR="00BF4219" w:rsidRPr="003939A7">
        <w:t xml:space="preserve">used a mixed-methods approach to </w:t>
      </w:r>
      <w:r w:rsidR="00C84E46" w:rsidRPr="003939A7">
        <w:t>investigate</w:t>
      </w:r>
      <w:r w:rsidR="0000467E" w:rsidRPr="003939A7">
        <w:t xml:space="preserve"> the</w:t>
      </w:r>
      <w:r w:rsidR="00744878" w:rsidRPr="003939A7">
        <w:t xml:space="preserve"> impact of </w:t>
      </w:r>
      <w:r w:rsidR="008D2D3B" w:rsidRPr="003939A7">
        <w:t xml:space="preserve">immersive experiences of </w:t>
      </w:r>
      <w:r w:rsidR="00744878" w:rsidRPr="003939A7">
        <w:t xml:space="preserve">prehistoric landscapes </w:t>
      </w:r>
      <w:r w:rsidR="00AA23A2" w:rsidRPr="003939A7">
        <w:t xml:space="preserve">on </w:t>
      </w:r>
      <w:r w:rsidR="00BF4219" w:rsidRPr="003939A7">
        <w:t xml:space="preserve">the </w:t>
      </w:r>
      <w:r w:rsidR="00AA23A2" w:rsidRPr="003939A7">
        <w:t>well</w:t>
      </w:r>
      <w:r w:rsidR="0000467E" w:rsidRPr="003939A7">
        <w:t>-</w:t>
      </w:r>
      <w:r w:rsidR="007D02A2" w:rsidRPr="003939A7">
        <w:t xml:space="preserve">being of </w:t>
      </w:r>
      <w:r w:rsidR="00B50B05" w:rsidRPr="003939A7">
        <w:t xml:space="preserve">participants with mental health </w:t>
      </w:r>
      <w:r w:rsidR="0000467E" w:rsidRPr="003939A7">
        <w:t>issues</w:t>
      </w:r>
      <w:r w:rsidR="0093191F" w:rsidRPr="003939A7">
        <w:t>.</w:t>
      </w:r>
      <w:r w:rsidR="005A19F3" w:rsidRPr="003939A7">
        <w:t xml:space="preserve"> </w:t>
      </w:r>
      <w:r w:rsidR="0093191F" w:rsidRPr="003939A7">
        <w:t>Uniquely, th</w:t>
      </w:r>
      <w:r w:rsidR="007023D5" w:rsidRPr="003939A7">
        <w:t>e</w:t>
      </w:r>
      <w:r w:rsidR="0093191F" w:rsidRPr="003939A7">
        <w:t xml:space="preserve"> </w:t>
      </w:r>
      <w:r w:rsidRPr="003939A7">
        <w:t xml:space="preserve">study followed </w:t>
      </w:r>
      <w:r w:rsidR="008D496B" w:rsidRPr="003939A7">
        <w:t>participants</w:t>
      </w:r>
      <w:r w:rsidR="0093191F" w:rsidRPr="003939A7">
        <w:t xml:space="preserve"> </w:t>
      </w:r>
      <w:r w:rsidR="008D2D3B" w:rsidRPr="003939A7">
        <w:t xml:space="preserve">for a </w:t>
      </w:r>
      <w:r w:rsidRPr="003939A7">
        <w:t xml:space="preserve">year </w:t>
      </w:r>
      <w:r w:rsidR="008D2D3B" w:rsidRPr="003939A7">
        <w:t>after their participation in the project to explore the long-</w:t>
      </w:r>
      <w:r w:rsidRPr="003939A7">
        <w:t xml:space="preserve">term impact </w:t>
      </w:r>
      <w:r w:rsidR="008D2D3B" w:rsidRPr="003939A7">
        <w:t xml:space="preserve">of their experiences </w:t>
      </w:r>
      <w:r w:rsidRPr="003939A7">
        <w:t xml:space="preserve">on </w:t>
      </w:r>
      <w:r w:rsidR="008D2D3B" w:rsidRPr="003939A7">
        <w:t xml:space="preserve">their </w:t>
      </w:r>
      <w:r w:rsidRPr="003939A7">
        <w:t>menta</w:t>
      </w:r>
      <w:r w:rsidR="0093191F" w:rsidRPr="003939A7">
        <w:t>l</w:t>
      </w:r>
      <w:r w:rsidRPr="003939A7">
        <w:t xml:space="preserve"> well-being. </w:t>
      </w:r>
      <w:r w:rsidR="00744878" w:rsidRPr="003939A7">
        <w:t>Findings highlight that</w:t>
      </w:r>
      <w:r w:rsidR="00BF4219" w:rsidRPr="003939A7">
        <w:t>,</w:t>
      </w:r>
      <w:r w:rsidR="00744878" w:rsidRPr="003939A7">
        <w:t xml:space="preserve"> </w:t>
      </w:r>
      <w:r w:rsidR="00E12C2B" w:rsidRPr="003939A7">
        <w:t>overall</w:t>
      </w:r>
      <w:r w:rsidR="00BF4219" w:rsidRPr="003939A7">
        <w:t>,</w:t>
      </w:r>
      <w:r w:rsidR="00E12C2B" w:rsidRPr="003939A7">
        <w:t xml:space="preserve"> </w:t>
      </w:r>
      <w:r w:rsidR="005A19F3" w:rsidRPr="003939A7">
        <w:t>participants</w:t>
      </w:r>
      <w:r w:rsidR="00744878" w:rsidRPr="003939A7">
        <w:t xml:space="preserve"> experienced improved </w:t>
      </w:r>
      <w:r w:rsidR="0000467E" w:rsidRPr="003939A7">
        <w:t>mental health well-being</w:t>
      </w:r>
      <w:r w:rsidR="00744878" w:rsidRPr="003939A7">
        <w:t xml:space="preserve"> from baseline to mid</w:t>
      </w:r>
      <w:r w:rsidR="00BF4219" w:rsidRPr="003939A7">
        <w:t>-</w:t>
      </w:r>
      <w:r w:rsidR="00E12C2B" w:rsidRPr="003939A7">
        <w:t xml:space="preserve"> and end</w:t>
      </w:r>
      <w:r w:rsidR="00BF4219" w:rsidRPr="003939A7">
        <w:t>-</w:t>
      </w:r>
      <w:r w:rsidR="00E12C2B" w:rsidRPr="003939A7">
        <w:t xml:space="preserve">of </w:t>
      </w:r>
      <w:r w:rsidR="00744878" w:rsidRPr="003939A7">
        <w:t>p</w:t>
      </w:r>
      <w:r w:rsidR="005A19F3" w:rsidRPr="003939A7">
        <w:t>rogramme</w:t>
      </w:r>
      <w:r w:rsidR="00744878" w:rsidRPr="003939A7">
        <w:t xml:space="preserve"> </w:t>
      </w:r>
      <w:r w:rsidR="005A19F3" w:rsidRPr="003939A7">
        <w:t>(</w:t>
      </w:r>
      <w:r w:rsidR="00AB4ACF" w:rsidRPr="003939A7">
        <w:t>p=0.0</w:t>
      </w:r>
      <w:r w:rsidR="00E12C2B" w:rsidRPr="003939A7">
        <w:t>1</w:t>
      </w:r>
      <w:r w:rsidR="00575FEE" w:rsidRPr="003939A7">
        <w:t xml:space="preserve"> &amp; 0.00</w:t>
      </w:r>
      <w:r w:rsidR="00E12C2B" w:rsidRPr="003939A7">
        <w:t>3</w:t>
      </w:r>
      <w:r w:rsidR="00AB4ACF" w:rsidRPr="003939A7">
        <w:t>)</w:t>
      </w:r>
      <w:r w:rsidR="008D2D3B" w:rsidRPr="003939A7">
        <w:t>,</w:t>
      </w:r>
      <w:r w:rsidR="00AB4ACF" w:rsidRPr="003939A7">
        <w:t xml:space="preserve"> </w:t>
      </w:r>
      <w:r w:rsidR="00903ADC" w:rsidRPr="003939A7">
        <w:t>as well as</w:t>
      </w:r>
      <w:r w:rsidR="00744878" w:rsidRPr="003939A7">
        <w:t xml:space="preserve"> </w:t>
      </w:r>
      <w:r w:rsidR="00E12C2B" w:rsidRPr="003939A7">
        <w:t>one-year post-</w:t>
      </w:r>
      <w:r w:rsidR="008D2D3B" w:rsidRPr="003939A7">
        <w:t xml:space="preserve">programme </w:t>
      </w:r>
      <w:r w:rsidR="005A19F3" w:rsidRPr="003939A7">
        <w:t>(</w:t>
      </w:r>
      <w:r w:rsidR="00D87203" w:rsidRPr="003939A7">
        <w:t>p=0.0</w:t>
      </w:r>
      <w:r w:rsidR="00E12C2B" w:rsidRPr="003939A7">
        <w:t>3</w:t>
      </w:r>
      <w:r w:rsidR="00D87203" w:rsidRPr="003939A7">
        <w:t xml:space="preserve">). </w:t>
      </w:r>
      <w:r w:rsidR="005A19F3" w:rsidRPr="003939A7">
        <w:t xml:space="preserve">Qualitative data </w:t>
      </w:r>
      <w:r w:rsidR="00F90837" w:rsidRPr="003939A7">
        <w:t xml:space="preserve">indicated </w:t>
      </w:r>
      <w:r w:rsidR="00BF4219" w:rsidRPr="003939A7">
        <w:t xml:space="preserve">the </w:t>
      </w:r>
      <w:r w:rsidR="005A19F3" w:rsidRPr="003939A7">
        <w:t>reconnect</w:t>
      </w:r>
      <w:r w:rsidR="000F5D3E" w:rsidRPr="003939A7">
        <w:t xml:space="preserve">ion </w:t>
      </w:r>
      <w:r w:rsidR="00F90837" w:rsidRPr="003939A7">
        <w:t xml:space="preserve">of participants </w:t>
      </w:r>
      <w:r w:rsidR="00D259C4" w:rsidRPr="003939A7">
        <w:t xml:space="preserve">with </w:t>
      </w:r>
      <w:r w:rsidR="0000467E" w:rsidRPr="003939A7">
        <w:t>local communit</w:t>
      </w:r>
      <w:r w:rsidR="00BF4219" w:rsidRPr="003939A7">
        <w:t>ies</w:t>
      </w:r>
      <w:r w:rsidR="008D2D3B" w:rsidRPr="003939A7">
        <w:t>,</w:t>
      </w:r>
      <w:r w:rsidR="00D259C4" w:rsidRPr="003939A7">
        <w:t xml:space="preserve"> and </w:t>
      </w:r>
      <w:r w:rsidR="00BF4219" w:rsidRPr="003939A7">
        <w:t xml:space="preserve">with </w:t>
      </w:r>
      <w:r w:rsidR="00D259C4" w:rsidRPr="003939A7">
        <w:t>other</w:t>
      </w:r>
      <w:r w:rsidR="0000467E" w:rsidRPr="003939A7">
        <w:t xml:space="preserve"> people</w:t>
      </w:r>
      <w:r w:rsidR="008D2D3B" w:rsidRPr="003939A7">
        <w:t>,</w:t>
      </w:r>
      <w:r w:rsidR="00D259C4" w:rsidRPr="003939A7">
        <w:t xml:space="preserve"> </w:t>
      </w:r>
      <w:r w:rsidR="00BF4219" w:rsidRPr="003939A7">
        <w:t>in ways that</w:t>
      </w:r>
      <w:r w:rsidR="000F5D3E" w:rsidRPr="003939A7">
        <w:t xml:space="preserve"> improved </w:t>
      </w:r>
      <w:r w:rsidR="006E7E7E" w:rsidRPr="003939A7">
        <w:t xml:space="preserve">their </w:t>
      </w:r>
      <w:r w:rsidR="000F5D3E" w:rsidRPr="003939A7">
        <w:t>mental health</w:t>
      </w:r>
      <w:r w:rsidR="0000467E" w:rsidRPr="003939A7">
        <w:t xml:space="preserve"> well-being</w:t>
      </w:r>
      <w:r w:rsidR="005A19F3" w:rsidRPr="003939A7">
        <w:t xml:space="preserve">. </w:t>
      </w:r>
      <w:r w:rsidR="006E7E7E" w:rsidRPr="003939A7">
        <w:t xml:space="preserve">These data </w:t>
      </w:r>
      <w:r w:rsidR="00B626FB" w:rsidRPr="003939A7">
        <w:t xml:space="preserve">highlight the effectiveness of </w:t>
      </w:r>
      <w:r w:rsidR="00BF4219" w:rsidRPr="003939A7">
        <w:t>using h</w:t>
      </w:r>
      <w:r w:rsidR="00B626FB" w:rsidRPr="003939A7">
        <w:t xml:space="preserve">eritage </w:t>
      </w:r>
      <w:r w:rsidR="00BF4219" w:rsidRPr="003939A7">
        <w:t xml:space="preserve">as a means of </w:t>
      </w:r>
      <w:r w:rsidR="00B626FB" w:rsidRPr="003939A7">
        <w:t xml:space="preserve">improving </w:t>
      </w:r>
      <w:r w:rsidR="00BF4219" w:rsidRPr="003939A7">
        <w:t xml:space="preserve">the </w:t>
      </w:r>
      <w:r w:rsidR="00B626FB" w:rsidRPr="003939A7">
        <w:t>well</w:t>
      </w:r>
      <w:r w:rsidR="0000467E" w:rsidRPr="003939A7">
        <w:t>-</w:t>
      </w:r>
      <w:r w:rsidR="00B626FB" w:rsidRPr="003939A7">
        <w:t xml:space="preserve">being of people with mental health </w:t>
      </w:r>
      <w:r w:rsidR="0000467E" w:rsidRPr="003939A7">
        <w:t>issues</w:t>
      </w:r>
      <w:r w:rsidR="00B626FB" w:rsidRPr="003939A7">
        <w:t xml:space="preserve">. </w:t>
      </w:r>
    </w:p>
    <w:p w14:paraId="5B6CC2F6" w14:textId="77777777" w:rsidR="000F5D3E" w:rsidRPr="003939A7" w:rsidRDefault="000F5D3E" w:rsidP="00876312">
      <w:pPr>
        <w:spacing w:after="0" w:line="360" w:lineRule="auto"/>
        <w:jc w:val="both"/>
      </w:pPr>
    </w:p>
    <w:p w14:paraId="76803BB1" w14:textId="6D5794AC" w:rsidR="004F09A0" w:rsidRPr="003939A7" w:rsidRDefault="00CB7EE0" w:rsidP="00876312">
      <w:pPr>
        <w:spacing w:after="0" w:line="360" w:lineRule="auto"/>
        <w:jc w:val="both"/>
      </w:pPr>
      <w:r w:rsidRPr="003939A7">
        <w:rPr>
          <w:b/>
        </w:rPr>
        <w:t>Key w</w:t>
      </w:r>
      <w:r w:rsidR="004F09A0" w:rsidRPr="003939A7">
        <w:rPr>
          <w:b/>
        </w:rPr>
        <w:t>o</w:t>
      </w:r>
      <w:r w:rsidRPr="003939A7">
        <w:rPr>
          <w:b/>
        </w:rPr>
        <w:t>rds</w:t>
      </w:r>
      <w:r w:rsidR="004F09A0" w:rsidRPr="003939A7">
        <w:t xml:space="preserve">: </w:t>
      </w:r>
      <w:r w:rsidR="008D2D3B" w:rsidRPr="003939A7">
        <w:t>m</w:t>
      </w:r>
      <w:r w:rsidR="004F09A0" w:rsidRPr="003939A7">
        <w:t xml:space="preserve">ental </w:t>
      </w:r>
      <w:r w:rsidR="008D2D3B" w:rsidRPr="003939A7">
        <w:t>h</w:t>
      </w:r>
      <w:r w:rsidR="004F09A0" w:rsidRPr="003939A7">
        <w:t>ealth</w:t>
      </w:r>
      <w:r w:rsidR="00CB3C35" w:rsidRPr="003939A7">
        <w:t>;</w:t>
      </w:r>
      <w:r w:rsidR="004F09A0" w:rsidRPr="003939A7">
        <w:t xml:space="preserve"> well-being; heritage</w:t>
      </w:r>
      <w:r w:rsidR="00CB3C35" w:rsidRPr="003939A7">
        <w:t xml:space="preserve">; </w:t>
      </w:r>
      <w:r w:rsidR="008D2D3B" w:rsidRPr="003939A7">
        <w:t xml:space="preserve">World Heritage Sites; </w:t>
      </w:r>
      <w:r w:rsidR="00B76B63" w:rsidRPr="003939A7">
        <w:t>public health</w:t>
      </w:r>
    </w:p>
    <w:p w14:paraId="307EFDD2" w14:textId="77777777" w:rsidR="007E1553" w:rsidRPr="003939A7" w:rsidRDefault="007E1553" w:rsidP="00876312">
      <w:pPr>
        <w:spacing w:after="0" w:line="360" w:lineRule="auto"/>
        <w:jc w:val="both"/>
      </w:pPr>
    </w:p>
    <w:p w14:paraId="5682A8CD" w14:textId="77777777" w:rsidR="00CB7EE0" w:rsidRPr="003939A7" w:rsidRDefault="00CB7EE0" w:rsidP="00DC3DB4">
      <w:pPr>
        <w:spacing w:after="0" w:line="360" w:lineRule="auto"/>
        <w:jc w:val="both"/>
      </w:pPr>
    </w:p>
    <w:p w14:paraId="6D929AC2" w14:textId="77777777" w:rsidR="004361B7" w:rsidRPr="003939A7" w:rsidRDefault="004361B7" w:rsidP="00876312">
      <w:pPr>
        <w:spacing w:after="0" w:line="360" w:lineRule="auto"/>
        <w:jc w:val="both"/>
        <w:sectPr w:rsidR="004361B7" w:rsidRPr="003939A7">
          <w:footerReference w:type="default" r:id="rId19"/>
          <w:pgSz w:w="11906" w:h="16838"/>
          <w:pgMar w:top="1440" w:right="1440" w:bottom="1440" w:left="1440" w:header="708" w:footer="708" w:gutter="0"/>
          <w:cols w:space="708"/>
          <w:docGrid w:linePitch="360"/>
        </w:sectPr>
      </w:pPr>
    </w:p>
    <w:p w14:paraId="2C47FFF6" w14:textId="77777777" w:rsidR="00B76B63" w:rsidRPr="003939A7" w:rsidRDefault="00CB7EE0" w:rsidP="00876312">
      <w:pPr>
        <w:pStyle w:val="ListParagraph"/>
        <w:numPr>
          <w:ilvl w:val="0"/>
          <w:numId w:val="8"/>
        </w:numPr>
        <w:spacing w:after="0" w:line="360" w:lineRule="auto"/>
        <w:ind w:left="0"/>
        <w:jc w:val="both"/>
        <w:rPr>
          <w:b/>
        </w:rPr>
      </w:pPr>
      <w:r w:rsidRPr="003939A7">
        <w:rPr>
          <w:b/>
        </w:rPr>
        <w:lastRenderedPageBreak/>
        <w:t>Introduction</w:t>
      </w:r>
    </w:p>
    <w:p w14:paraId="61334107" w14:textId="0060F63F" w:rsidR="004361B7" w:rsidRPr="003939A7" w:rsidRDefault="004361B7" w:rsidP="00EB6E59">
      <w:pPr>
        <w:pStyle w:val="ListParagraph"/>
        <w:spacing w:after="0" w:line="360" w:lineRule="auto"/>
        <w:ind w:left="0"/>
        <w:jc w:val="both"/>
        <w:rPr>
          <w:i/>
        </w:rPr>
      </w:pPr>
    </w:p>
    <w:p w14:paraId="1A20EBEA" w14:textId="3B7933FB" w:rsidR="000048DD" w:rsidRPr="003939A7" w:rsidRDefault="000048DD" w:rsidP="00033352">
      <w:pPr>
        <w:spacing w:after="0" w:line="360" w:lineRule="auto"/>
        <w:jc w:val="both"/>
      </w:pPr>
      <w:r w:rsidRPr="003939A7">
        <w:t>Well-being is a multi</w:t>
      </w:r>
      <w:r w:rsidR="002D239F" w:rsidRPr="003939A7">
        <w:t>-</w:t>
      </w:r>
      <w:r w:rsidRPr="003939A7">
        <w:t>dimensional resource in human life</w:t>
      </w:r>
      <w:r w:rsidR="002D239F" w:rsidRPr="003939A7">
        <w:t xml:space="preserve"> essentially </w:t>
      </w:r>
      <w:r w:rsidRPr="003939A7">
        <w:t xml:space="preserve">linked to </w:t>
      </w:r>
      <w:r w:rsidRPr="003939A7">
        <w:rPr>
          <w:i/>
        </w:rPr>
        <w:t xml:space="preserve">how things are for individuals in the world </w:t>
      </w:r>
      <w:r w:rsidRPr="003939A7">
        <w:t>(Galvin</w:t>
      </w:r>
      <w:r w:rsidR="00AD4D4D" w:rsidRPr="003939A7">
        <w:t>,</w:t>
      </w:r>
      <w:r w:rsidRPr="003939A7">
        <w:t xml:space="preserve"> 2018). </w:t>
      </w:r>
      <w:r w:rsidR="00033352" w:rsidRPr="003939A7">
        <w:t>Internationally</w:t>
      </w:r>
      <w:r w:rsidR="00DB2AB4" w:rsidRPr="003939A7">
        <w:t>,</w:t>
      </w:r>
      <w:r w:rsidR="00033352" w:rsidRPr="003939A7">
        <w:t xml:space="preserve"> well-being is </w:t>
      </w:r>
      <w:r w:rsidR="00490E93" w:rsidRPr="003939A7">
        <w:t xml:space="preserve">highlighted as one </w:t>
      </w:r>
      <w:r w:rsidR="00033352" w:rsidRPr="003939A7">
        <w:t>of the Sustainable Development Goals (SDG United Nations</w:t>
      </w:r>
      <w:r w:rsidR="00AD4D4D" w:rsidRPr="003939A7">
        <w:t>,</w:t>
      </w:r>
      <w:r w:rsidR="00033352" w:rsidRPr="003939A7">
        <w:t xml:space="preserve"> 2015). </w:t>
      </w:r>
      <w:r w:rsidR="00EC0559" w:rsidRPr="003939A7">
        <w:t>I</w:t>
      </w:r>
      <w:r w:rsidR="00033352" w:rsidRPr="003939A7">
        <w:t xml:space="preserve">n 2010, </w:t>
      </w:r>
      <w:r w:rsidR="002D239F" w:rsidRPr="003939A7">
        <w:t xml:space="preserve">the Measuring National Well-being (MNW) programme was established </w:t>
      </w:r>
      <w:r w:rsidR="00EC0559" w:rsidRPr="003939A7">
        <w:t xml:space="preserve">in the UK </w:t>
      </w:r>
      <w:r w:rsidR="002D239F" w:rsidRPr="003939A7">
        <w:t>to monitor and report trends of well-being (Office for National Statistics</w:t>
      </w:r>
      <w:r w:rsidR="00AD4D4D" w:rsidRPr="003939A7">
        <w:t>,</w:t>
      </w:r>
      <w:r w:rsidR="002D239F" w:rsidRPr="003939A7">
        <w:t xml:space="preserve"> (ONCS) 2017). </w:t>
      </w:r>
      <w:r w:rsidR="00EC0559" w:rsidRPr="003939A7">
        <w:t xml:space="preserve">It </w:t>
      </w:r>
      <w:r w:rsidR="002D239F" w:rsidRPr="003939A7">
        <w:t xml:space="preserve">is measured  across 10 </w:t>
      </w:r>
      <w:r w:rsidRPr="003939A7">
        <w:t>do</w:t>
      </w:r>
      <w:r w:rsidR="002D239F" w:rsidRPr="003939A7">
        <w:t>mains</w:t>
      </w:r>
      <w:r w:rsidRPr="003939A7">
        <w:t xml:space="preserve">; personal well-being, </w:t>
      </w:r>
      <w:r w:rsidR="002D239F" w:rsidRPr="003939A7">
        <w:t>relationships</w:t>
      </w:r>
      <w:r w:rsidRPr="003939A7">
        <w:t xml:space="preserve">, health, what we do, where we live, personal finance, the economy, education and skills, </w:t>
      </w:r>
      <w:r w:rsidR="00EB6E59" w:rsidRPr="003939A7">
        <w:t>governance</w:t>
      </w:r>
      <w:r w:rsidRPr="003939A7">
        <w:t xml:space="preserve"> and the natural environment (Office for National Statistics</w:t>
      </w:r>
      <w:r w:rsidR="00AD4D4D" w:rsidRPr="003939A7">
        <w:t>,</w:t>
      </w:r>
      <w:r w:rsidRPr="003939A7">
        <w:t xml:space="preserve"> 2019). </w:t>
      </w:r>
      <w:r w:rsidR="00EB6E59" w:rsidRPr="003939A7">
        <w:t xml:space="preserve">Of particular </w:t>
      </w:r>
      <w:r w:rsidR="0067040F" w:rsidRPr="003939A7">
        <w:t>inter</w:t>
      </w:r>
      <w:r w:rsidR="00EB6E59" w:rsidRPr="003939A7">
        <w:t>e</w:t>
      </w:r>
      <w:r w:rsidR="0067040F" w:rsidRPr="003939A7">
        <w:t xml:space="preserve">st to this paper </w:t>
      </w:r>
      <w:r w:rsidR="00EB6E59" w:rsidRPr="003939A7">
        <w:t>are the domains of personal well-being, health and the natural environment.</w:t>
      </w:r>
      <w:r w:rsidR="009540F9" w:rsidRPr="003939A7">
        <w:t xml:space="preserve"> </w:t>
      </w:r>
    </w:p>
    <w:p w14:paraId="1B855258" w14:textId="77777777" w:rsidR="00EB6E59" w:rsidRPr="003939A7" w:rsidRDefault="00EB6E59" w:rsidP="00033352">
      <w:pPr>
        <w:spacing w:after="0" w:line="360" w:lineRule="auto"/>
        <w:jc w:val="both"/>
      </w:pPr>
    </w:p>
    <w:p w14:paraId="5ABA3D4C" w14:textId="08A3ADFF" w:rsidR="002F721C" w:rsidRPr="003939A7" w:rsidRDefault="00EB6E59" w:rsidP="00EB6E59">
      <w:pPr>
        <w:spacing w:after="0" w:line="360" w:lineRule="auto"/>
        <w:jc w:val="both"/>
      </w:pPr>
      <w:r w:rsidRPr="003939A7">
        <w:t>The c</w:t>
      </w:r>
      <w:r w:rsidR="002F721C" w:rsidRPr="003939A7">
        <w:t>oncept of nature in promoting well-being has a long history</w:t>
      </w:r>
      <w:r w:rsidRPr="003939A7">
        <w:t xml:space="preserve"> </w:t>
      </w:r>
      <w:r w:rsidR="00F84992" w:rsidRPr="003939A7">
        <w:t>emanating from</w:t>
      </w:r>
      <w:r w:rsidR="002F721C" w:rsidRPr="003939A7">
        <w:t xml:space="preserve"> the 19</w:t>
      </w:r>
      <w:r w:rsidR="002F721C" w:rsidRPr="003939A7">
        <w:rPr>
          <w:vertAlign w:val="superscript"/>
        </w:rPr>
        <w:t>th</w:t>
      </w:r>
      <w:r w:rsidR="002F721C" w:rsidRPr="003939A7">
        <w:t xml:space="preserve"> century</w:t>
      </w:r>
      <w:r w:rsidR="00F41F38" w:rsidRPr="003939A7">
        <w:t xml:space="preserve">, </w:t>
      </w:r>
      <w:r w:rsidR="002F721C" w:rsidRPr="003939A7">
        <w:t>asserted by environmental theorists, philosophers and psychiatrists (Noone et al</w:t>
      </w:r>
      <w:r w:rsidR="003939A7" w:rsidRPr="003939A7">
        <w:t>,</w:t>
      </w:r>
      <w:r w:rsidR="002F721C" w:rsidRPr="003939A7">
        <w:t xml:space="preserve"> 2017)</w:t>
      </w:r>
      <w:r w:rsidR="00421726" w:rsidRPr="003939A7">
        <w:t xml:space="preserve">. </w:t>
      </w:r>
      <w:r w:rsidR="00B82DE1" w:rsidRPr="003939A7">
        <w:t xml:space="preserve">Gesler </w:t>
      </w:r>
      <w:r w:rsidR="00F41F38" w:rsidRPr="003939A7">
        <w:t xml:space="preserve">first </w:t>
      </w:r>
      <w:r w:rsidR="00B82DE1" w:rsidRPr="003939A7">
        <w:t xml:space="preserve">recognised that </w:t>
      </w:r>
      <w:r w:rsidR="00E0674D" w:rsidRPr="003939A7">
        <w:t>p</w:t>
      </w:r>
      <w:r w:rsidR="00F41F38" w:rsidRPr="003939A7">
        <w:t>hysical</w:t>
      </w:r>
      <w:r w:rsidR="00E0674D" w:rsidRPr="003939A7">
        <w:t xml:space="preserve"> enviro</w:t>
      </w:r>
      <w:r w:rsidRPr="003939A7">
        <w:t>nments</w:t>
      </w:r>
      <w:r w:rsidR="00E0674D" w:rsidRPr="003939A7">
        <w:t xml:space="preserve"> couple</w:t>
      </w:r>
      <w:r w:rsidRPr="003939A7">
        <w:t>d</w:t>
      </w:r>
      <w:r w:rsidR="00E0674D" w:rsidRPr="003939A7">
        <w:t xml:space="preserve"> with social cond</w:t>
      </w:r>
      <w:r w:rsidRPr="003939A7">
        <w:t>itions</w:t>
      </w:r>
      <w:r w:rsidR="00E0674D" w:rsidRPr="003939A7">
        <w:t xml:space="preserve"> and human </w:t>
      </w:r>
      <w:r w:rsidRPr="003939A7">
        <w:t>perceptions</w:t>
      </w:r>
      <w:r w:rsidR="00E0674D" w:rsidRPr="003939A7">
        <w:t xml:space="preserve"> could produce at</w:t>
      </w:r>
      <w:r w:rsidRPr="003939A7">
        <w:t>mospheric conditions</w:t>
      </w:r>
      <w:r w:rsidR="00E0674D" w:rsidRPr="003939A7">
        <w:t xml:space="preserve"> conduc</w:t>
      </w:r>
      <w:r w:rsidRPr="003939A7">
        <w:t>iv</w:t>
      </w:r>
      <w:r w:rsidR="00E0674D" w:rsidRPr="003939A7">
        <w:t>e to healing (Bell</w:t>
      </w:r>
      <w:r w:rsidR="003939A7" w:rsidRPr="003939A7">
        <w:t xml:space="preserve"> et al,</w:t>
      </w:r>
      <w:r w:rsidR="00E0674D" w:rsidRPr="003939A7">
        <w:t xml:space="preserve"> 2018). This moved </w:t>
      </w:r>
      <w:r w:rsidR="00F41F38" w:rsidRPr="003939A7">
        <w:t xml:space="preserve">thinking </w:t>
      </w:r>
      <w:r w:rsidR="00E0674D" w:rsidRPr="003939A7">
        <w:t>forwards to considering how such ther</w:t>
      </w:r>
      <w:r w:rsidR="00F41F38" w:rsidRPr="003939A7">
        <w:t>apeutic</w:t>
      </w:r>
      <w:r w:rsidR="00E0674D" w:rsidRPr="003939A7">
        <w:t xml:space="preserve"> landscapes could be utilised </w:t>
      </w:r>
      <w:r w:rsidR="00F84992" w:rsidRPr="003939A7">
        <w:t>in promoting</w:t>
      </w:r>
      <w:r w:rsidR="00E0674D" w:rsidRPr="003939A7">
        <w:t xml:space="preserve"> health and well</w:t>
      </w:r>
      <w:r w:rsidR="00DB2AB4" w:rsidRPr="003939A7">
        <w:t>-</w:t>
      </w:r>
      <w:r w:rsidR="00E0674D" w:rsidRPr="003939A7">
        <w:t xml:space="preserve">being. </w:t>
      </w:r>
      <w:r w:rsidR="00F41F38" w:rsidRPr="003939A7">
        <w:t xml:space="preserve">However notions of therapeutic landscapes are themselves multi-faceted. </w:t>
      </w:r>
      <w:r w:rsidRPr="003939A7">
        <w:t xml:space="preserve">Bell et al. (2018) </w:t>
      </w:r>
      <w:r w:rsidR="00F41F38" w:rsidRPr="003939A7">
        <w:t xml:space="preserve">refers to </w:t>
      </w:r>
      <w:r w:rsidRPr="003939A7">
        <w:t xml:space="preserve">palettes of place, </w:t>
      </w:r>
      <w:r w:rsidR="00F41F38" w:rsidRPr="003939A7">
        <w:t xml:space="preserve">which </w:t>
      </w:r>
      <w:r w:rsidR="00F84992" w:rsidRPr="003939A7">
        <w:t>considers</w:t>
      </w:r>
      <w:r w:rsidRPr="003939A7">
        <w:t xml:space="preserve"> both green and blue space</w:t>
      </w:r>
      <w:r w:rsidR="00F41F38" w:rsidRPr="003939A7">
        <w:t>; g</w:t>
      </w:r>
      <w:r w:rsidRPr="003939A7">
        <w:t>reen space refer</w:t>
      </w:r>
      <w:r w:rsidR="00F41F38" w:rsidRPr="003939A7">
        <w:t>ring</w:t>
      </w:r>
      <w:r w:rsidRPr="003939A7">
        <w:t xml:space="preserve"> to the land</w:t>
      </w:r>
      <w:r w:rsidR="00F41F38" w:rsidRPr="003939A7">
        <w:t xml:space="preserve"> base</w:t>
      </w:r>
      <w:r w:rsidR="00EC0559" w:rsidRPr="003939A7">
        <w:t>d</w:t>
      </w:r>
      <w:r w:rsidR="00F41F38" w:rsidRPr="003939A7">
        <w:t xml:space="preserve"> environments</w:t>
      </w:r>
      <w:r w:rsidRPr="003939A7">
        <w:t xml:space="preserve"> whereas blue spa</w:t>
      </w:r>
      <w:r w:rsidR="00F41F38" w:rsidRPr="003939A7">
        <w:t>c</w:t>
      </w:r>
      <w:r w:rsidRPr="003939A7">
        <w:t>e refer</w:t>
      </w:r>
      <w:r w:rsidR="00F41F38" w:rsidRPr="003939A7">
        <w:t>s</w:t>
      </w:r>
      <w:r w:rsidRPr="003939A7">
        <w:t xml:space="preserve"> to water s</w:t>
      </w:r>
      <w:r w:rsidR="00F41F38" w:rsidRPr="003939A7">
        <w:t>p</w:t>
      </w:r>
      <w:r w:rsidRPr="003939A7">
        <w:t>aces</w:t>
      </w:r>
      <w:r w:rsidR="00D07474" w:rsidRPr="003939A7">
        <w:t>. I</w:t>
      </w:r>
      <w:r w:rsidR="00F41F38" w:rsidRPr="003939A7">
        <w:t>n addition</w:t>
      </w:r>
      <w:r w:rsidR="00F84992" w:rsidRPr="003939A7">
        <w:t>,</w:t>
      </w:r>
      <w:r w:rsidR="00F41F38" w:rsidRPr="003939A7">
        <w:t xml:space="preserve"> there are ther</w:t>
      </w:r>
      <w:r w:rsidR="00F84992" w:rsidRPr="003939A7">
        <w:t>apeutic</w:t>
      </w:r>
      <w:r w:rsidR="00F41F38" w:rsidRPr="003939A7">
        <w:t xml:space="preserve"> landscapes consisting of a </w:t>
      </w:r>
      <w:r w:rsidRPr="003939A7">
        <w:t xml:space="preserve">hybrid </w:t>
      </w:r>
      <w:r w:rsidR="00F41F38" w:rsidRPr="003939A7">
        <w:t xml:space="preserve">of </w:t>
      </w:r>
      <w:r w:rsidR="00F84992" w:rsidRPr="003939A7">
        <w:t>bo</w:t>
      </w:r>
      <w:r w:rsidR="00F41F38" w:rsidRPr="003939A7">
        <w:t>th blue and green space</w:t>
      </w:r>
      <w:r w:rsidRPr="003939A7">
        <w:t xml:space="preserve">. </w:t>
      </w:r>
      <w:r w:rsidR="00F41F38" w:rsidRPr="003939A7">
        <w:t xml:space="preserve"> Irrespective of the type of therapeutic landscape</w:t>
      </w:r>
      <w:r w:rsidR="00F84992" w:rsidRPr="003939A7">
        <w:t>,</w:t>
      </w:r>
      <w:r w:rsidR="00F41F38" w:rsidRPr="003939A7">
        <w:t xml:space="preserve"> </w:t>
      </w:r>
      <w:r w:rsidRPr="003939A7">
        <w:t>Conradson (2005) argue</w:t>
      </w:r>
      <w:r w:rsidR="00F41F38" w:rsidRPr="003939A7">
        <w:t>s</w:t>
      </w:r>
      <w:r w:rsidRPr="003939A7">
        <w:t xml:space="preserve"> that </w:t>
      </w:r>
      <w:r w:rsidR="00EC0559" w:rsidRPr="003939A7">
        <w:t>these</w:t>
      </w:r>
      <w:r w:rsidRPr="003939A7">
        <w:t xml:space="preserve"> need to be considered as a relational outcome </w:t>
      </w:r>
      <w:r w:rsidR="00F84992" w:rsidRPr="003939A7">
        <w:t>emerging through</w:t>
      </w:r>
      <w:r w:rsidRPr="003939A7">
        <w:t xml:space="preserve"> a complex set of </w:t>
      </w:r>
      <w:r w:rsidR="00D07474" w:rsidRPr="003939A7">
        <w:t xml:space="preserve">interactions </w:t>
      </w:r>
      <w:r w:rsidRPr="003939A7">
        <w:t xml:space="preserve">between the individual and the broader socio-environmental setting. This focuses upon three aspects; firstly </w:t>
      </w:r>
      <w:r w:rsidR="00F41F38" w:rsidRPr="003939A7">
        <w:t xml:space="preserve">holistic </w:t>
      </w:r>
      <w:r w:rsidRPr="003939A7">
        <w:t>well</w:t>
      </w:r>
      <w:r w:rsidR="00DB2AB4" w:rsidRPr="003939A7">
        <w:t>-</w:t>
      </w:r>
      <w:r w:rsidRPr="003939A7">
        <w:t xml:space="preserve">being </w:t>
      </w:r>
      <w:r w:rsidR="00F41F38" w:rsidRPr="003939A7">
        <w:t>incorporating the</w:t>
      </w:r>
      <w:r w:rsidRPr="003939A7">
        <w:t xml:space="preserve"> psychosocial</w:t>
      </w:r>
      <w:r w:rsidR="00F41F38" w:rsidRPr="003939A7">
        <w:t xml:space="preserve"> aspects of the person</w:t>
      </w:r>
      <w:r w:rsidR="00DB2AB4" w:rsidRPr="003939A7">
        <w:t>;</w:t>
      </w:r>
      <w:r w:rsidRPr="003939A7">
        <w:t xml:space="preserve"> </w:t>
      </w:r>
      <w:r w:rsidR="00DB2AB4" w:rsidRPr="003939A7">
        <w:t>secondly</w:t>
      </w:r>
      <w:r w:rsidR="00F84992" w:rsidRPr="003939A7">
        <w:t>, interactions</w:t>
      </w:r>
      <w:r w:rsidRPr="003939A7">
        <w:t xml:space="preserve"> between the individual and the landscape which are </w:t>
      </w:r>
      <w:r w:rsidR="00F84992" w:rsidRPr="003939A7">
        <w:t xml:space="preserve">themselves </w:t>
      </w:r>
      <w:r w:rsidRPr="003939A7">
        <w:t>complex embodied encounters and lastly</w:t>
      </w:r>
      <w:r w:rsidR="00F84992" w:rsidRPr="003939A7">
        <w:t>,</w:t>
      </w:r>
      <w:r w:rsidRPr="003939A7">
        <w:t xml:space="preserve"> the relational analysis which </w:t>
      </w:r>
      <w:r w:rsidR="00F84992" w:rsidRPr="003939A7">
        <w:t xml:space="preserve">considers </w:t>
      </w:r>
      <w:r w:rsidRPr="003939A7">
        <w:t>not only the immediate self-landscape encounter but the wider socio-natural relations in which the individual is located.</w:t>
      </w:r>
    </w:p>
    <w:p w14:paraId="1D34B1B1" w14:textId="77777777" w:rsidR="00F84992" w:rsidRPr="003939A7" w:rsidRDefault="00F84992" w:rsidP="00EB6E59">
      <w:pPr>
        <w:spacing w:after="0" w:line="360" w:lineRule="auto"/>
        <w:jc w:val="both"/>
      </w:pPr>
    </w:p>
    <w:p w14:paraId="1E5B5D03" w14:textId="163E7E4D" w:rsidR="00F84992" w:rsidRPr="003939A7" w:rsidRDefault="009131E8" w:rsidP="00F84992">
      <w:pPr>
        <w:spacing w:after="0" w:line="360" w:lineRule="auto"/>
        <w:jc w:val="both"/>
      </w:pPr>
      <w:r w:rsidRPr="003939A7">
        <w:t>As identified above, one of the domains of well-being is health; the World Health Organisation (2014) defined health as “</w:t>
      </w:r>
      <w:r w:rsidRPr="003939A7">
        <w:rPr>
          <w:rFonts w:cs="Helvetica"/>
          <w:color w:val="333333"/>
          <w:shd w:val="clear" w:color="auto" w:fill="FFFFFF"/>
        </w:rPr>
        <w:t>…a state of complete physical, mental and social well-being and not merely the absence of disease or infirmity</w:t>
      </w:r>
      <w:r w:rsidR="003939A7" w:rsidRPr="003939A7">
        <w:rPr>
          <w:rFonts w:cs="Helvetica"/>
          <w:color w:val="333333"/>
          <w:shd w:val="clear" w:color="auto" w:fill="FFFFFF"/>
        </w:rPr>
        <w:t>”</w:t>
      </w:r>
      <w:r w:rsidRPr="003939A7">
        <w:rPr>
          <w:rFonts w:cs="Helvetica"/>
          <w:color w:val="333333"/>
          <w:shd w:val="clear" w:color="auto" w:fill="FFFFFF"/>
        </w:rPr>
        <w:t xml:space="preserve">.  </w:t>
      </w:r>
      <w:r w:rsidR="00D07474" w:rsidRPr="003939A7">
        <w:rPr>
          <w:rFonts w:cs="Helvetica"/>
          <w:color w:val="333333"/>
          <w:shd w:val="clear" w:color="auto" w:fill="FFFFFF"/>
        </w:rPr>
        <w:t>This asserts</w:t>
      </w:r>
      <w:r w:rsidRPr="003939A7">
        <w:rPr>
          <w:rFonts w:cs="Helvetica"/>
          <w:color w:val="333333"/>
          <w:shd w:val="clear" w:color="auto" w:fill="FFFFFF"/>
        </w:rPr>
        <w:t xml:space="preserve"> that mental health is a fundamental aspect</w:t>
      </w:r>
      <w:r w:rsidR="00DB2AB4" w:rsidRPr="003939A7">
        <w:rPr>
          <w:rFonts w:cs="Helvetica"/>
          <w:color w:val="333333"/>
          <w:shd w:val="clear" w:color="auto" w:fill="FFFFFF"/>
        </w:rPr>
        <w:t xml:space="preserve"> of</w:t>
      </w:r>
      <w:r w:rsidRPr="003939A7">
        <w:rPr>
          <w:rFonts w:cs="Helvetica"/>
          <w:color w:val="333333"/>
          <w:shd w:val="clear" w:color="auto" w:fill="FFFFFF"/>
        </w:rPr>
        <w:t xml:space="preserve"> health and well-being</w:t>
      </w:r>
      <w:r w:rsidR="00D07474" w:rsidRPr="003939A7">
        <w:rPr>
          <w:rFonts w:cs="Helvetica"/>
          <w:color w:val="333333"/>
          <w:shd w:val="clear" w:color="auto" w:fill="FFFFFF"/>
        </w:rPr>
        <w:t>; furthermore</w:t>
      </w:r>
      <w:r w:rsidRPr="003939A7">
        <w:rPr>
          <w:rFonts w:cs="Helvetica"/>
          <w:color w:val="333333"/>
          <w:shd w:val="clear" w:color="auto" w:fill="FFFFFF"/>
        </w:rPr>
        <w:t xml:space="preserve">, they define mental health </w:t>
      </w:r>
      <w:r w:rsidR="00D07474" w:rsidRPr="003939A7">
        <w:rPr>
          <w:rFonts w:cs="Helvetica"/>
          <w:color w:val="333333"/>
          <w:shd w:val="clear" w:color="auto" w:fill="FFFFFF"/>
        </w:rPr>
        <w:t xml:space="preserve">as </w:t>
      </w:r>
      <w:r w:rsidRPr="003939A7">
        <w:rPr>
          <w:rFonts w:cs="Helvetica"/>
          <w:color w:val="333333"/>
          <w:shd w:val="clear" w:color="auto" w:fill="FFFFFF"/>
        </w:rPr>
        <w:t xml:space="preserve">a state of well-being in which individuals are able to reach their potential, cope with stresses of life, able to work productively and make a contribution to society (WHO 2014).  </w:t>
      </w:r>
      <w:r w:rsidR="00F84992" w:rsidRPr="003939A7">
        <w:t xml:space="preserve">This is important globally. Steel and colleagues (2014) </w:t>
      </w:r>
      <w:r w:rsidR="00F84992" w:rsidRPr="003939A7">
        <w:lastRenderedPageBreak/>
        <w:t>analysed 174 studies undertaken between 1980</w:t>
      </w:r>
      <w:r w:rsidR="00F84992" w:rsidRPr="003939A7">
        <w:rPr>
          <w:rFonts w:ascii="Arial" w:hAnsi="Arial" w:cs="Arial"/>
        </w:rPr>
        <w:t xml:space="preserve"> and </w:t>
      </w:r>
      <w:r w:rsidR="00F84992" w:rsidRPr="003939A7">
        <w:t>2013 across 63 countries and identified that 20% of respondents met the criteria for a common mental disorder during the last 12 months whilst 29.2% were identified as having experienced a common mental disorder at some time during their lifetime. The most recent Adult Psychiatric Morbidity Survey in the UK, conducted during 2014, highlighted that one in six people (16.6%) aged over 16 years reported symptoms of a common mental disorder during the week prior to the survey, a figure that has been increasing steadily since 1993 (Baker, 2018). From this it could reasonably be suggested that everyone is likely to be exposed to mental illness at some point during their lives. Not only are mental illness highly prevalent, but also the impact on individuals and their families can be significant. Vigo and colleagues (2016) estimated that the burden on individuals accounts for 32·4% years lived with a disability (YLDs) and 13·0% of disability-adjusted life-years (DALYs). Despite this, there remains an imbalance between the global burden of mental illness and the attention it receives.</w:t>
      </w:r>
    </w:p>
    <w:p w14:paraId="17BEEFCF" w14:textId="77777777" w:rsidR="00F84992" w:rsidRPr="003939A7" w:rsidRDefault="00F84992" w:rsidP="00F84992">
      <w:pPr>
        <w:spacing w:after="0" w:line="360" w:lineRule="auto"/>
        <w:jc w:val="both"/>
      </w:pPr>
    </w:p>
    <w:p w14:paraId="33D86D4F" w14:textId="3144D143" w:rsidR="009131E8" w:rsidRPr="003939A7" w:rsidRDefault="003769AC" w:rsidP="00867201">
      <w:pPr>
        <w:spacing w:after="0" w:line="360" w:lineRule="auto"/>
        <w:jc w:val="both"/>
      </w:pPr>
      <w:r w:rsidRPr="003939A7">
        <w:rPr>
          <w:rFonts w:cs="Arial"/>
        </w:rPr>
        <w:t>The links between mental illness and environment are not new</w:t>
      </w:r>
      <w:r w:rsidR="00AD4D4D" w:rsidRPr="003939A7">
        <w:rPr>
          <w:rFonts w:cs="Arial"/>
        </w:rPr>
        <w:t>;</w:t>
      </w:r>
      <w:r w:rsidRPr="003939A7">
        <w:rPr>
          <w:rFonts w:cs="Arial"/>
        </w:rPr>
        <w:t xml:space="preserve"> d</w:t>
      </w:r>
      <w:r w:rsidR="009131E8" w:rsidRPr="003939A7">
        <w:rPr>
          <w:rFonts w:cs="Arial"/>
        </w:rPr>
        <w:t xml:space="preserve">uring the nineteenth century </w:t>
      </w:r>
      <w:r w:rsidRPr="003939A7">
        <w:rPr>
          <w:rFonts w:cs="Arial"/>
        </w:rPr>
        <w:t>asylum</w:t>
      </w:r>
      <w:r w:rsidR="009131E8" w:rsidRPr="003939A7">
        <w:rPr>
          <w:rFonts w:cs="Arial"/>
        </w:rPr>
        <w:t xml:space="preserve"> landscapes were often designed to aid recovery facilitating the return of patients to a functional role in society. This led to the creation of a recognized specialization in landscape gardening (Rutherford, 2005, p, 62), for example the grounds of the private asylum Brislington House in Bristol opened in 1806, were designed by Edward Long Fox to include pathways and walks in the hope of improving the emotional state of patients (Hickman, 2005, p, 59).</w:t>
      </w:r>
      <w:r w:rsidR="009131E8" w:rsidRPr="003939A7">
        <w:t xml:space="preserve"> This focus on environment and landscape as therapeutic tools in the treatment of mental illness declined during the twentieth century as n</w:t>
      </w:r>
      <w:r w:rsidR="009131E8" w:rsidRPr="003939A7">
        <w:rPr>
          <w:rFonts w:cs="Arial"/>
        </w:rPr>
        <w:t>ew clinically-based approaches to mental healthcare gained popularity (Collins et al, 2016). More recently, the focus on promoting mental health and well-being has led to a renewed interest in the role of therapeutic landscapes (Griffith, 2018).</w:t>
      </w:r>
      <w:r w:rsidR="009131E8" w:rsidRPr="003939A7">
        <w:t xml:space="preserve"> </w:t>
      </w:r>
      <w:r w:rsidRPr="003939A7">
        <w:t xml:space="preserve">This </w:t>
      </w:r>
      <w:r w:rsidR="00D07474" w:rsidRPr="003939A7">
        <w:t xml:space="preserve">global </w:t>
      </w:r>
      <w:r w:rsidRPr="003939A7">
        <w:t xml:space="preserve">focus </w:t>
      </w:r>
      <w:r w:rsidR="00AD4D4D" w:rsidRPr="003939A7">
        <w:t>upon</w:t>
      </w:r>
      <w:r w:rsidRPr="003939A7">
        <w:t xml:space="preserve"> mental health a</w:t>
      </w:r>
      <w:r w:rsidR="00D07474" w:rsidRPr="003939A7">
        <w:t xml:space="preserve">s well as </w:t>
      </w:r>
      <w:r w:rsidRPr="003939A7">
        <w:t xml:space="preserve">mental illness </w:t>
      </w:r>
      <w:r w:rsidR="00D07474" w:rsidRPr="003939A7">
        <w:t>reflects growing</w:t>
      </w:r>
      <w:r w:rsidRPr="003939A7">
        <w:t xml:space="preserve"> awareness that mental health is not simply the absence of mental illness; rather it </w:t>
      </w:r>
      <w:r w:rsidR="00AD4D4D" w:rsidRPr="003939A7">
        <w:t>is</w:t>
      </w:r>
      <w:r w:rsidRPr="003939A7">
        <w:t xml:space="preserve"> two dimensions that, although strongly correlated, are not polar opposites (Lombardo et al</w:t>
      </w:r>
      <w:r w:rsidR="00AD4D4D" w:rsidRPr="003939A7">
        <w:t>.</w:t>
      </w:r>
      <w:r w:rsidRPr="003939A7">
        <w:t xml:space="preserve"> 2018). For example, an individual </w:t>
      </w:r>
      <w:r w:rsidR="00EC0559" w:rsidRPr="003939A7">
        <w:t xml:space="preserve">with a low level of mental well-being may not necessary have a diagnosable mental illness, and individuals </w:t>
      </w:r>
      <w:r w:rsidRPr="003939A7">
        <w:t xml:space="preserve">with a mental illness can </w:t>
      </w:r>
      <w:r w:rsidR="00867201" w:rsidRPr="003939A7">
        <w:t xml:space="preserve">experience </w:t>
      </w:r>
      <w:r w:rsidRPr="003939A7">
        <w:t>mental well-being</w:t>
      </w:r>
      <w:r w:rsidR="00EC0559" w:rsidRPr="003939A7">
        <w:t>.</w:t>
      </w:r>
      <w:r w:rsidRPr="003939A7">
        <w:t xml:space="preserve">. </w:t>
      </w:r>
      <w:r w:rsidR="00867201" w:rsidRPr="003939A7">
        <w:t xml:space="preserve">This </w:t>
      </w:r>
      <w:r w:rsidR="00D07474" w:rsidRPr="003939A7">
        <w:t xml:space="preserve">reflects the </w:t>
      </w:r>
      <w:r w:rsidR="00790355" w:rsidRPr="003939A7">
        <w:t>recovery model of mental health</w:t>
      </w:r>
      <w:r w:rsidR="00D07474" w:rsidRPr="003939A7">
        <w:t xml:space="preserve">, </w:t>
      </w:r>
      <w:r w:rsidR="00867201" w:rsidRPr="003939A7">
        <w:t>described as a personal process of changing one</w:t>
      </w:r>
      <w:r w:rsidR="00D07474" w:rsidRPr="003939A7">
        <w:t>’</w:t>
      </w:r>
      <w:r w:rsidR="00867201" w:rsidRPr="003939A7">
        <w:t xml:space="preserve">s values, feelings and attitudes, focussing upon living a satisfying and hopeful life with limitations that may be caused by illness </w:t>
      </w:r>
      <w:r w:rsidR="00790355" w:rsidRPr="003939A7">
        <w:t>(Anthony, 1993)</w:t>
      </w:r>
      <w:r w:rsidR="00867201" w:rsidRPr="003939A7">
        <w:t xml:space="preserve">. </w:t>
      </w:r>
      <w:r w:rsidRPr="003939A7">
        <w:t xml:space="preserve">CHIME is an acronym </w:t>
      </w:r>
      <w:r w:rsidR="00D07474" w:rsidRPr="003939A7">
        <w:t xml:space="preserve">commonly used </w:t>
      </w:r>
      <w:r w:rsidR="009B7DFA" w:rsidRPr="003939A7">
        <w:t xml:space="preserve">in recovery focussed mental health </w:t>
      </w:r>
      <w:r w:rsidR="00D07474" w:rsidRPr="003939A7">
        <w:t>reflecting</w:t>
      </w:r>
      <w:r w:rsidRPr="003939A7">
        <w:t xml:space="preserve"> five recovery processes</w:t>
      </w:r>
      <w:r w:rsidR="00D07474" w:rsidRPr="003939A7">
        <w:t xml:space="preserve">; </w:t>
      </w:r>
      <w:r w:rsidRPr="003939A7">
        <w:t>connectedness, hope, identity, meaningfulness and empowerment (Leamy et al. 2011). Duff</w:t>
      </w:r>
      <w:r w:rsidR="00790355" w:rsidRPr="003939A7">
        <w:t xml:space="preserve">’s </w:t>
      </w:r>
      <w:r w:rsidRPr="003939A7">
        <w:t>(2012</w:t>
      </w:r>
      <w:r w:rsidR="00AD4D4D" w:rsidRPr="003939A7">
        <w:t>) core</w:t>
      </w:r>
      <w:r w:rsidRPr="003939A7">
        <w:t xml:space="preserve"> aspects of ‘enabling’ places</w:t>
      </w:r>
      <w:r w:rsidR="00D07474" w:rsidRPr="003939A7">
        <w:t xml:space="preserve"> reflect these recovery principles focussing upon </w:t>
      </w:r>
      <w:r w:rsidRPr="003939A7">
        <w:t>promot</w:t>
      </w:r>
      <w:r w:rsidR="00D07474" w:rsidRPr="003939A7">
        <w:t>ing</w:t>
      </w:r>
      <w:r w:rsidRPr="003939A7">
        <w:t xml:space="preserve"> recover</w:t>
      </w:r>
      <w:r w:rsidR="00AD4D4D" w:rsidRPr="003939A7">
        <w:t>y</w:t>
      </w:r>
      <w:r w:rsidRPr="003939A7">
        <w:t xml:space="preserve"> </w:t>
      </w:r>
      <w:r w:rsidR="00AD4D4D" w:rsidRPr="003939A7">
        <w:t xml:space="preserve">through </w:t>
      </w:r>
      <w:r w:rsidRPr="003939A7">
        <w:t>social resources</w:t>
      </w:r>
      <w:r w:rsidR="00D07474" w:rsidRPr="003939A7">
        <w:t>,</w:t>
      </w:r>
      <w:r w:rsidRPr="003939A7">
        <w:t xml:space="preserve"> </w:t>
      </w:r>
      <w:r w:rsidR="00D07474" w:rsidRPr="003939A7">
        <w:t>(</w:t>
      </w:r>
      <w:r w:rsidRPr="003939A7">
        <w:t>promot</w:t>
      </w:r>
      <w:r w:rsidR="00AD4D4D" w:rsidRPr="003939A7">
        <w:t>ing</w:t>
      </w:r>
      <w:r w:rsidRPr="003939A7">
        <w:t xml:space="preserve"> opportunities for social interaction, opening up social </w:t>
      </w:r>
      <w:r w:rsidRPr="003939A7">
        <w:lastRenderedPageBreak/>
        <w:t>networks</w:t>
      </w:r>
      <w:r w:rsidR="00D07474" w:rsidRPr="003939A7">
        <w:t>)</w:t>
      </w:r>
      <w:r w:rsidRPr="003939A7">
        <w:t xml:space="preserve">, material resources </w:t>
      </w:r>
      <w:r w:rsidR="00D07474" w:rsidRPr="003939A7">
        <w:t>(</w:t>
      </w:r>
      <w:r w:rsidRPr="003939A7">
        <w:t>expand</w:t>
      </w:r>
      <w:r w:rsidR="00D07474" w:rsidRPr="003939A7">
        <w:t>ing</w:t>
      </w:r>
      <w:r w:rsidRPr="003939A7">
        <w:t xml:space="preserve"> one</w:t>
      </w:r>
      <w:r w:rsidR="00AD4D4D" w:rsidRPr="003939A7">
        <w:t>’</w:t>
      </w:r>
      <w:r w:rsidRPr="003939A7">
        <w:t xml:space="preserve">s horizon </w:t>
      </w:r>
      <w:r w:rsidR="00AD4D4D" w:rsidRPr="003939A7">
        <w:t>as well as</w:t>
      </w:r>
      <w:r w:rsidRPr="003939A7">
        <w:t xml:space="preserve"> one’s home environment</w:t>
      </w:r>
      <w:r w:rsidR="00D07474" w:rsidRPr="003939A7">
        <w:t>)</w:t>
      </w:r>
      <w:r w:rsidR="00AD4D4D" w:rsidRPr="003939A7">
        <w:t xml:space="preserve"> and </w:t>
      </w:r>
      <w:r w:rsidRPr="003939A7">
        <w:t xml:space="preserve"> affective resources</w:t>
      </w:r>
      <w:r w:rsidR="0016435A" w:rsidRPr="003939A7">
        <w:t xml:space="preserve"> (</w:t>
      </w:r>
      <w:r w:rsidRPr="003939A7">
        <w:t xml:space="preserve">how </w:t>
      </w:r>
      <w:r w:rsidR="00AD4D4D" w:rsidRPr="003939A7">
        <w:t>individuals feel</w:t>
      </w:r>
      <w:r w:rsidR="0016435A" w:rsidRPr="003939A7">
        <w:t>)</w:t>
      </w:r>
      <w:r w:rsidRPr="003939A7">
        <w:t>.</w:t>
      </w:r>
    </w:p>
    <w:p w14:paraId="28021CDB" w14:textId="77777777" w:rsidR="00F84992" w:rsidRPr="003939A7" w:rsidRDefault="00F84992" w:rsidP="00033352">
      <w:pPr>
        <w:spacing w:after="0" w:line="360" w:lineRule="auto"/>
        <w:jc w:val="both"/>
      </w:pPr>
    </w:p>
    <w:p w14:paraId="07F6394D" w14:textId="546D25D1" w:rsidR="00646646" w:rsidRPr="003939A7" w:rsidRDefault="00823977" w:rsidP="00646646">
      <w:pPr>
        <w:spacing w:after="0" w:line="360" w:lineRule="auto"/>
        <w:jc w:val="both"/>
        <w:rPr>
          <w:rFonts w:cs="Arial"/>
        </w:rPr>
      </w:pPr>
      <w:r w:rsidRPr="003939A7">
        <w:rPr>
          <w:rFonts w:cs="Arial"/>
        </w:rPr>
        <w:t>There is increasing recognition of the importance of nature</w:t>
      </w:r>
      <w:r w:rsidR="008A150D" w:rsidRPr="003939A7">
        <w:rPr>
          <w:rFonts w:cs="Arial"/>
        </w:rPr>
        <w:t xml:space="preserve"> and engagements with the environment</w:t>
      </w:r>
      <w:r w:rsidRPr="003939A7">
        <w:rPr>
          <w:rFonts w:cs="Arial"/>
        </w:rPr>
        <w:t xml:space="preserve"> </w:t>
      </w:r>
      <w:r w:rsidR="008A150D" w:rsidRPr="003939A7">
        <w:rPr>
          <w:rFonts w:cs="Arial"/>
        </w:rPr>
        <w:t xml:space="preserve">as a means of </w:t>
      </w:r>
      <w:r w:rsidRPr="003939A7">
        <w:rPr>
          <w:rFonts w:cs="Arial"/>
        </w:rPr>
        <w:t>promot</w:t>
      </w:r>
      <w:r w:rsidR="00D06F8B" w:rsidRPr="003939A7">
        <w:rPr>
          <w:rFonts w:cs="Arial"/>
        </w:rPr>
        <w:t>ing</w:t>
      </w:r>
      <w:r w:rsidRPr="003939A7">
        <w:rPr>
          <w:rFonts w:cs="Arial"/>
        </w:rPr>
        <w:t xml:space="preserve"> positive mental health (Bloomfield</w:t>
      </w:r>
      <w:r w:rsidR="009E7767" w:rsidRPr="003939A7">
        <w:rPr>
          <w:rFonts w:cs="Arial"/>
        </w:rPr>
        <w:t>,</w:t>
      </w:r>
      <w:r w:rsidRPr="003939A7">
        <w:rPr>
          <w:rFonts w:cs="Arial"/>
        </w:rPr>
        <w:t xml:space="preserve"> 2017)</w:t>
      </w:r>
      <w:r w:rsidR="00B56CA7" w:rsidRPr="003939A7">
        <w:rPr>
          <w:rFonts w:cs="Arial"/>
        </w:rPr>
        <w:t xml:space="preserve"> this is due to acknowledgement of the</w:t>
      </w:r>
      <w:r w:rsidR="0016435A" w:rsidRPr="003939A7">
        <w:rPr>
          <w:rFonts w:cs="Arial"/>
        </w:rPr>
        <w:t xml:space="preserve"> positive association between individuals’ exposure and engagement with</w:t>
      </w:r>
      <w:r w:rsidR="00B56CA7" w:rsidRPr="003939A7">
        <w:rPr>
          <w:rFonts w:cs="Arial"/>
        </w:rPr>
        <w:t xml:space="preserve"> </w:t>
      </w:r>
      <w:r w:rsidR="0016435A" w:rsidRPr="003939A7">
        <w:rPr>
          <w:rFonts w:cs="Arial"/>
        </w:rPr>
        <w:t>natural and historic environments (Gesler, 2003; Griffith, 2018; Williams, 2007).</w:t>
      </w:r>
      <w:r w:rsidR="00646646" w:rsidRPr="003939A7">
        <w:rPr>
          <w:rFonts w:cs="Arial"/>
        </w:rPr>
        <w:t xml:space="preserve"> </w:t>
      </w:r>
      <w:r w:rsidRPr="003939A7">
        <w:rPr>
          <w:rFonts w:cs="Arial"/>
        </w:rPr>
        <w:t>However</w:t>
      </w:r>
      <w:r w:rsidR="008A150D" w:rsidRPr="003939A7">
        <w:rPr>
          <w:rFonts w:cs="Arial"/>
        </w:rPr>
        <w:t>,</w:t>
      </w:r>
      <w:r w:rsidRPr="003939A7">
        <w:rPr>
          <w:rFonts w:cs="Arial"/>
        </w:rPr>
        <w:t xml:space="preserve"> empirical evidence o</w:t>
      </w:r>
      <w:r w:rsidR="000A6CA6" w:rsidRPr="003939A7">
        <w:rPr>
          <w:rFonts w:cs="Arial"/>
        </w:rPr>
        <w:t>f</w:t>
      </w:r>
      <w:r w:rsidRPr="003939A7">
        <w:rPr>
          <w:rFonts w:cs="Arial"/>
        </w:rPr>
        <w:t xml:space="preserve"> the impact this has on health and well-being is mixed. Research </w:t>
      </w:r>
      <w:r w:rsidR="00B1435D" w:rsidRPr="003939A7">
        <w:rPr>
          <w:rFonts w:cs="Arial"/>
        </w:rPr>
        <w:t xml:space="preserve">in a community setting </w:t>
      </w:r>
      <w:r w:rsidRPr="003939A7">
        <w:rPr>
          <w:rFonts w:cs="Arial"/>
        </w:rPr>
        <w:t xml:space="preserve">by Wu </w:t>
      </w:r>
      <w:r w:rsidR="0062291C" w:rsidRPr="003939A7">
        <w:rPr>
          <w:rFonts w:cs="Arial"/>
        </w:rPr>
        <w:t>and colleagues</w:t>
      </w:r>
      <w:r w:rsidRPr="003939A7">
        <w:rPr>
          <w:rFonts w:cs="Arial"/>
        </w:rPr>
        <w:t xml:space="preserve"> (2015) with 2424 </w:t>
      </w:r>
      <w:r w:rsidR="00547677" w:rsidRPr="003939A7">
        <w:rPr>
          <w:rFonts w:cs="Arial"/>
        </w:rPr>
        <w:t xml:space="preserve">older </w:t>
      </w:r>
      <w:r w:rsidRPr="003939A7">
        <w:rPr>
          <w:rFonts w:cs="Arial"/>
        </w:rPr>
        <w:t xml:space="preserve">people identified </w:t>
      </w:r>
      <w:r w:rsidR="000A6CA6" w:rsidRPr="003939A7">
        <w:rPr>
          <w:rFonts w:cs="Arial"/>
        </w:rPr>
        <w:t xml:space="preserve">that </w:t>
      </w:r>
      <w:r w:rsidRPr="003939A7">
        <w:rPr>
          <w:rFonts w:cs="Arial"/>
        </w:rPr>
        <w:t xml:space="preserve">higher exposure to green space was associated with fewer mental disorders in </w:t>
      </w:r>
      <w:r w:rsidR="008A150D" w:rsidRPr="003939A7">
        <w:rPr>
          <w:rFonts w:cs="Arial"/>
        </w:rPr>
        <w:t>the sample community</w:t>
      </w:r>
      <w:r w:rsidRPr="003939A7">
        <w:rPr>
          <w:rFonts w:cs="Arial"/>
        </w:rPr>
        <w:t xml:space="preserve">. Conversely, a </w:t>
      </w:r>
      <w:r w:rsidR="00D73218" w:rsidRPr="003939A7">
        <w:rPr>
          <w:rFonts w:cs="Arial"/>
        </w:rPr>
        <w:t xml:space="preserve">theory-led mixed-method </w:t>
      </w:r>
      <w:r w:rsidRPr="003939A7">
        <w:rPr>
          <w:rFonts w:cs="Arial"/>
        </w:rPr>
        <w:t xml:space="preserve">systemic review by Lovell </w:t>
      </w:r>
      <w:r w:rsidR="003939A7" w:rsidRPr="003939A7">
        <w:rPr>
          <w:rFonts w:cs="Arial"/>
        </w:rPr>
        <w:t>et al,</w:t>
      </w:r>
      <w:r w:rsidRPr="003939A7">
        <w:rPr>
          <w:rFonts w:cs="Arial"/>
        </w:rPr>
        <w:t xml:space="preserve"> (2015) exploring the impact of environmental enhancement activities on health identified that very few </w:t>
      </w:r>
      <w:r w:rsidR="006624E5" w:rsidRPr="003939A7">
        <w:rPr>
          <w:rFonts w:cs="Arial"/>
        </w:rPr>
        <w:t xml:space="preserve">of </w:t>
      </w:r>
      <w:r w:rsidR="00723E24" w:rsidRPr="003939A7">
        <w:rPr>
          <w:rFonts w:cs="Arial"/>
        </w:rPr>
        <w:t xml:space="preserve">the </w:t>
      </w:r>
      <w:r w:rsidRPr="003939A7">
        <w:rPr>
          <w:rFonts w:cs="Arial"/>
        </w:rPr>
        <w:t xml:space="preserve">studies </w:t>
      </w:r>
      <w:r w:rsidR="008A150D" w:rsidRPr="003939A7">
        <w:rPr>
          <w:rFonts w:cs="Arial"/>
        </w:rPr>
        <w:t>examined</w:t>
      </w:r>
      <w:r w:rsidRPr="003939A7">
        <w:rPr>
          <w:rFonts w:cs="Arial"/>
        </w:rPr>
        <w:t xml:space="preserve"> presented evidence of impact on health and well</w:t>
      </w:r>
      <w:r w:rsidR="00D06F8B" w:rsidRPr="003939A7">
        <w:rPr>
          <w:rFonts w:cs="Arial"/>
        </w:rPr>
        <w:t>-</w:t>
      </w:r>
      <w:r w:rsidRPr="003939A7">
        <w:rPr>
          <w:rFonts w:cs="Arial"/>
        </w:rPr>
        <w:t>being.</w:t>
      </w:r>
      <w:r w:rsidR="00B1435D" w:rsidRPr="003939A7">
        <w:rPr>
          <w:rFonts w:cs="Arial"/>
        </w:rPr>
        <w:t xml:space="preserve"> A more recent review examining quantitative and mixed method studies by Cipriani et al. (2017) explored the benefits on horticultural therapy (HT) and mental health</w:t>
      </w:r>
      <w:r w:rsidR="00646646" w:rsidRPr="003939A7">
        <w:rPr>
          <w:rFonts w:cs="Arial"/>
        </w:rPr>
        <w:t>. This i</w:t>
      </w:r>
      <w:r w:rsidR="00B1435D" w:rsidRPr="003939A7">
        <w:rPr>
          <w:rFonts w:cs="Arial"/>
        </w:rPr>
        <w:t>dentified 14 studies</w:t>
      </w:r>
      <w:r w:rsidR="00646646" w:rsidRPr="003939A7">
        <w:rPr>
          <w:rFonts w:cs="Arial"/>
        </w:rPr>
        <w:t xml:space="preserve"> which </w:t>
      </w:r>
      <w:r w:rsidR="00B1435D" w:rsidRPr="003939A7">
        <w:rPr>
          <w:rFonts w:cs="Arial"/>
        </w:rPr>
        <w:t>were assessed using McMasters Critical Review form for quantitative studies (MQCRF)</w:t>
      </w:r>
      <w:r w:rsidR="00646646" w:rsidRPr="003939A7">
        <w:rPr>
          <w:rFonts w:cs="Arial"/>
        </w:rPr>
        <w:t xml:space="preserve"> and</w:t>
      </w:r>
      <w:r w:rsidR="00B1435D" w:rsidRPr="003939A7">
        <w:rPr>
          <w:rFonts w:cs="Arial"/>
        </w:rPr>
        <w:t xml:space="preserve"> identif</w:t>
      </w:r>
      <w:r w:rsidR="00646646" w:rsidRPr="003939A7">
        <w:rPr>
          <w:rFonts w:cs="Arial"/>
        </w:rPr>
        <w:t>ied</w:t>
      </w:r>
      <w:r w:rsidR="00B1435D" w:rsidRPr="003939A7">
        <w:rPr>
          <w:rFonts w:cs="Arial"/>
        </w:rPr>
        <w:t xml:space="preserve"> wide variation of quality of the studies</w:t>
      </w:r>
      <w:r w:rsidR="00646646" w:rsidRPr="003939A7">
        <w:rPr>
          <w:rFonts w:cs="Arial"/>
        </w:rPr>
        <w:t xml:space="preserve"> between 43</w:t>
      </w:r>
      <w:r w:rsidR="003939A7" w:rsidRPr="003939A7">
        <w:rPr>
          <w:rFonts w:cs="Arial"/>
        </w:rPr>
        <w:t xml:space="preserve"> and </w:t>
      </w:r>
      <w:r w:rsidR="00646646" w:rsidRPr="003939A7">
        <w:rPr>
          <w:rFonts w:cs="Arial"/>
        </w:rPr>
        <w:t>100%</w:t>
      </w:r>
      <w:r w:rsidR="00B1435D" w:rsidRPr="003939A7">
        <w:rPr>
          <w:rFonts w:cs="Arial"/>
        </w:rPr>
        <w:t xml:space="preserve">. Whilst this review noted that HT could lead to significant improvements </w:t>
      </w:r>
      <w:r w:rsidR="00646646" w:rsidRPr="003939A7">
        <w:rPr>
          <w:rFonts w:cs="Arial"/>
        </w:rPr>
        <w:t>o</w:t>
      </w:r>
      <w:r w:rsidR="00B1435D" w:rsidRPr="003939A7">
        <w:rPr>
          <w:rFonts w:cs="Arial"/>
        </w:rPr>
        <w:t>f 13 of the 14 studies were conducted within a health service location (Cipriani et al. 2017)</w:t>
      </w:r>
      <w:r w:rsidR="00646646" w:rsidRPr="003939A7">
        <w:rPr>
          <w:rFonts w:cs="Arial"/>
        </w:rPr>
        <w:t xml:space="preserve">. </w:t>
      </w:r>
      <w:r w:rsidR="00B1435D" w:rsidRPr="003939A7">
        <w:rPr>
          <w:rFonts w:cs="Arial"/>
        </w:rPr>
        <w:t xml:space="preserve">Experimental research by Najjar et al (2018) on HT in 30 people with chronic illness in an outpatient service (n=15 control group, n=15 experimental). The </w:t>
      </w:r>
      <w:r w:rsidR="00646646" w:rsidRPr="003939A7">
        <w:rPr>
          <w:rFonts w:cs="Arial"/>
        </w:rPr>
        <w:t>experimental</w:t>
      </w:r>
      <w:r w:rsidR="00B1435D" w:rsidRPr="003939A7">
        <w:rPr>
          <w:rFonts w:cs="Arial"/>
        </w:rPr>
        <w:t xml:space="preserve"> group had 10 sessions of HT over 5 weeks found significant improvements in stress, anxiety and depression scores however scores were only collated before and after the intervention.  </w:t>
      </w:r>
      <w:r w:rsidR="00646646" w:rsidRPr="003939A7">
        <w:rPr>
          <w:rFonts w:cs="Arial"/>
        </w:rPr>
        <w:t>Bell et al, (2018) argues that few studies have examined how the therapeutic effect persists or wanes over period of time as people return to their normal day to day lives.  This lack of evidence led the Natural England research report (2016;2) to conclude it is unknown whether ‘exposure to natural environments causes better mental health outcomes or whether people with better mental health tend to visit nature more often or live in greener areas’ .</w:t>
      </w:r>
    </w:p>
    <w:p w14:paraId="0C00ED48" w14:textId="77777777" w:rsidR="00646646" w:rsidRPr="003939A7" w:rsidRDefault="00646646" w:rsidP="00646646">
      <w:pPr>
        <w:spacing w:after="0" w:line="360" w:lineRule="auto"/>
        <w:jc w:val="both"/>
        <w:rPr>
          <w:rFonts w:cs="Arial"/>
        </w:rPr>
      </w:pPr>
    </w:p>
    <w:p w14:paraId="7866C782" w14:textId="381CCE08" w:rsidR="009C1C66" w:rsidRPr="003939A7" w:rsidRDefault="00ED0E91" w:rsidP="000C4C77">
      <w:pPr>
        <w:spacing w:after="0" w:line="360" w:lineRule="auto"/>
        <w:jc w:val="both"/>
        <w:rPr>
          <w:rFonts w:cs="Arial"/>
        </w:rPr>
      </w:pPr>
      <w:r w:rsidRPr="003939A7">
        <w:rPr>
          <w:rFonts w:cs="Arial"/>
        </w:rPr>
        <w:t>Alongside the growing focus on therapeutic landscapes has been an increasing interest in utilising heritage to promote mental health and well-being and this has included research in museums (Kindleysides and Biglands 2015)</w:t>
      </w:r>
      <w:r w:rsidR="000C4C77" w:rsidRPr="003939A7">
        <w:rPr>
          <w:rFonts w:cs="Arial"/>
        </w:rPr>
        <w:t xml:space="preserve"> and </w:t>
      </w:r>
      <w:r w:rsidRPr="003939A7">
        <w:rPr>
          <w:rFonts w:cs="Arial"/>
        </w:rPr>
        <w:t>archaeology</w:t>
      </w:r>
      <w:r w:rsidR="000C4C77" w:rsidRPr="003939A7">
        <w:rPr>
          <w:rFonts w:cs="Arial"/>
        </w:rPr>
        <w:t xml:space="preserve"> through</w:t>
      </w:r>
      <w:r w:rsidRPr="003939A7">
        <w:rPr>
          <w:rFonts w:cs="Arial"/>
        </w:rPr>
        <w:t xml:space="preserve"> ‘Operation Nightingale’ </w:t>
      </w:r>
      <w:r w:rsidR="000C4C77" w:rsidRPr="003939A7">
        <w:rPr>
          <w:rFonts w:cs="Arial"/>
        </w:rPr>
        <w:t>(</w:t>
      </w:r>
      <w:r w:rsidRPr="003939A7">
        <w:rPr>
          <w:rFonts w:cs="Arial"/>
        </w:rPr>
        <w:t>Ministry of Defence &amp; Defence Infrastructure Organization 2019</w:t>
      </w:r>
      <w:r w:rsidR="000C4C77" w:rsidRPr="003939A7">
        <w:rPr>
          <w:rFonts w:cs="Arial"/>
        </w:rPr>
        <w:t xml:space="preserve">) and </w:t>
      </w:r>
      <w:r w:rsidRPr="003939A7">
        <w:rPr>
          <w:rFonts w:cs="Arial"/>
        </w:rPr>
        <w:t>Waterloo Uncovered 2016).</w:t>
      </w:r>
      <w:r w:rsidR="000C4C77" w:rsidRPr="003939A7">
        <w:rPr>
          <w:rFonts w:cs="Arial"/>
        </w:rPr>
        <w:t xml:space="preserve"> The use of heritage as</w:t>
      </w:r>
      <w:r w:rsidR="00F270A7" w:rsidRPr="003939A7">
        <w:rPr>
          <w:rFonts w:cs="Arial"/>
        </w:rPr>
        <w:t xml:space="preserve"> </w:t>
      </w:r>
      <w:r w:rsidR="000C4C77" w:rsidRPr="003939A7">
        <w:rPr>
          <w:rFonts w:cs="Arial"/>
        </w:rPr>
        <w:t xml:space="preserve">a </w:t>
      </w:r>
      <w:r w:rsidR="00F270A7" w:rsidRPr="003939A7">
        <w:rPr>
          <w:rFonts w:cs="Arial"/>
        </w:rPr>
        <w:t>therapeutic</w:t>
      </w:r>
      <w:r w:rsidR="000C4C77" w:rsidRPr="003939A7">
        <w:rPr>
          <w:rFonts w:cs="Arial"/>
        </w:rPr>
        <w:t xml:space="preserve"> process has had less research than that of therapeutic landscapes. Reasons for this are </w:t>
      </w:r>
      <w:r w:rsidR="00F270A7" w:rsidRPr="003939A7">
        <w:rPr>
          <w:rFonts w:cs="Arial"/>
        </w:rPr>
        <w:t>unknown;</w:t>
      </w:r>
      <w:r w:rsidR="000C4C77" w:rsidRPr="003939A7">
        <w:rPr>
          <w:rFonts w:cs="Arial"/>
        </w:rPr>
        <w:t xml:space="preserve"> however </w:t>
      </w:r>
      <w:r w:rsidR="00F270A7" w:rsidRPr="003939A7">
        <w:rPr>
          <w:rFonts w:cs="Arial"/>
        </w:rPr>
        <w:t xml:space="preserve">costs may be one as </w:t>
      </w:r>
      <w:r w:rsidR="000C4C77" w:rsidRPr="003939A7">
        <w:rPr>
          <w:rFonts w:cs="Arial"/>
        </w:rPr>
        <w:t xml:space="preserve">there is evidence that utilisation of heritage is </w:t>
      </w:r>
      <w:r w:rsidR="00F270A7" w:rsidRPr="003939A7">
        <w:rPr>
          <w:rFonts w:cs="Arial"/>
        </w:rPr>
        <w:t>l</w:t>
      </w:r>
      <w:r w:rsidR="000C4C77" w:rsidRPr="003939A7">
        <w:rPr>
          <w:rFonts w:cs="Arial"/>
        </w:rPr>
        <w:t xml:space="preserve">inked to income. The taking part survey (DMCS 2018) </w:t>
      </w:r>
      <w:r w:rsidR="00F270A7" w:rsidRPr="003939A7">
        <w:rPr>
          <w:rFonts w:cs="Arial"/>
        </w:rPr>
        <w:t xml:space="preserve">identified a significant difference in that </w:t>
      </w:r>
      <w:r w:rsidR="00F270A7" w:rsidRPr="003939A7">
        <w:rPr>
          <w:rFonts w:cs="Arial"/>
        </w:rPr>
        <w:lastRenderedPageBreak/>
        <w:t>individuals from higher socio-economic groups are much more likely to visit a heritage site or attend a museum in comparison to individuals from lower socio-economic groups. This growing interest in landscapes and heritage as therapeutic tools resulted</w:t>
      </w:r>
      <w:r w:rsidR="000C4C77" w:rsidRPr="003939A7">
        <w:rPr>
          <w:rFonts w:cs="Arial"/>
        </w:rPr>
        <w:t xml:space="preserve"> in a </w:t>
      </w:r>
      <w:r w:rsidR="005B0922" w:rsidRPr="003939A7">
        <w:rPr>
          <w:rFonts w:cs="Arial"/>
        </w:rPr>
        <w:t>UK</w:t>
      </w:r>
      <w:r w:rsidR="008A150D" w:rsidRPr="003939A7">
        <w:rPr>
          <w:rFonts w:cs="Arial"/>
        </w:rPr>
        <w:t xml:space="preserve"> </w:t>
      </w:r>
      <w:r w:rsidR="00333A2B" w:rsidRPr="003939A7">
        <w:rPr>
          <w:rFonts w:cs="Arial"/>
          <w:i/>
        </w:rPr>
        <w:t>W</w:t>
      </w:r>
      <w:r w:rsidR="0049718E" w:rsidRPr="003939A7">
        <w:rPr>
          <w:rFonts w:cs="Arial"/>
          <w:i/>
        </w:rPr>
        <w:t xml:space="preserve">hite </w:t>
      </w:r>
      <w:r w:rsidR="00333A2B" w:rsidRPr="003939A7">
        <w:rPr>
          <w:rFonts w:cs="Arial"/>
          <w:i/>
        </w:rPr>
        <w:t>P</w:t>
      </w:r>
      <w:r w:rsidR="0049718E" w:rsidRPr="003939A7">
        <w:rPr>
          <w:rFonts w:cs="Arial"/>
          <w:i/>
        </w:rPr>
        <w:t>aper on Culture</w:t>
      </w:r>
      <w:r w:rsidR="0049718E" w:rsidRPr="003939A7">
        <w:rPr>
          <w:rFonts w:cs="Arial"/>
        </w:rPr>
        <w:t xml:space="preserve"> (DCMS</w:t>
      </w:r>
      <w:r w:rsidR="009E7767" w:rsidRPr="003939A7">
        <w:rPr>
          <w:rFonts w:cs="Arial"/>
        </w:rPr>
        <w:t>,</w:t>
      </w:r>
      <w:r w:rsidR="0049718E" w:rsidRPr="003939A7">
        <w:rPr>
          <w:rFonts w:cs="Arial"/>
        </w:rPr>
        <w:t xml:space="preserve"> 2016) </w:t>
      </w:r>
      <w:r w:rsidR="000C4C77" w:rsidRPr="003939A7">
        <w:rPr>
          <w:rFonts w:cs="Arial"/>
        </w:rPr>
        <w:t xml:space="preserve">which </w:t>
      </w:r>
      <w:r w:rsidR="0049718E" w:rsidRPr="003939A7">
        <w:rPr>
          <w:rFonts w:cs="Arial"/>
        </w:rPr>
        <w:t xml:space="preserve">highlighted </w:t>
      </w:r>
      <w:r w:rsidR="008A150D" w:rsidRPr="003939A7">
        <w:rPr>
          <w:rFonts w:cs="Arial"/>
        </w:rPr>
        <w:t>a</w:t>
      </w:r>
      <w:r w:rsidR="0049718E" w:rsidRPr="003939A7">
        <w:rPr>
          <w:rFonts w:cs="Arial"/>
        </w:rPr>
        <w:t xml:space="preserve"> commitment </w:t>
      </w:r>
      <w:r w:rsidR="008A150D" w:rsidRPr="003939A7">
        <w:rPr>
          <w:rFonts w:cs="Arial"/>
        </w:rPr>
        <w:t>for the</w:t>
      </w:r>
      <w:r w:rsidR="0049718E" w:rsidRPr="003939A7">
        <w:rPr>
          <w:rFonts w:cs="Arial"/>
        </w:rPr>
        <w:t xml:space="preserve"> cultural sector </w:t>
      </w:r>
      <w:r w:rsidR="008A150D" w:rsidRPr="003939A7">
        <w:rPr>
          <w:rFonts w:cs="Arial"/>
        </w:rPr>
        <w:t>to embrace</w:t>
      </w:r>
      <w:r w:rsidR="0049718E" w:rsidRPr="003939A7">
        <w:rPr>
          <w:rFonts w:cs="Arial"/>
        </w:rPr>
        <w:t xml:space="preserve"> the improvement of hea</w:t>
      </w:r>
      <w:r w:rsidR="00400090" w:rsidRPr="003939A7">
        <w:rPr>
          <w:rFonts w:cs="Arial"/>
        </w:rPr>
        <w:t>l</w:t>
      </w:r>
      <w:r w:rsidR="0049718E" w:rsidRPr="003939A7">
        <w:rPr>
          <w:rFonts w:cs="Arial"/>
        </w:rPr>
        <w:t>th and well-being acknowledging the symbiotic relationship between the two.</w:t>
      </w:r>
      <w:r w:rsidR="0073246C" w:rsidRPr="003939A7">
        <w:rPr>
          <w:rFonts w:cs="Arial"/>
        </w:rPr>
        <w:t xml:space="preserve"> This policy e</w:t>
      </w:r>
      <w:r w:rsidR="0049718E" w:rsidRPr="003939A7">
        <w:rPr>
          <w:rFonts w:cs="Arial"/>
        </w:rPr>
        <w:t>mphasi</w:t>
      </w:r>
      <w:r w:rsidR="00C84E46" w:rsidRPr="003939A7">
        <w:rPr>
          <w:rFonts w:cs="Arial"/>
        </w:rPr>
        <w:t>z</w:t>
      </w:r>
      <w:r w:rsidR="0073246C" w:rsidRPr="003939A7">
        <w:rPr>
          <w:rFonts w:cs="Arial"/>
        </w:rPr>
        <w:t>es</w:t>
      </w:r>
      <w:r w:rsidR="0049718E" w:rsidRPr="003939A7">
        <w:rPr>
          <w:rFonts w:cs="Arial"/>
        </w:rPr>
        <w:t xml:space="preserve"> the role </w:t>
      </w:r>
      <w:r w:rsidR="009C1C66" w:rsidRPr="003939A7">
        <w:rPr>
          <w:rFonts w:cs="Arial"/>
        </w:rPr>
        <w:t xml:space="preserve">that culture </w:t>
      </w:r>
      <w:r w:rsidR="0049718E" w:rsidRPr="003939A7">
        <w:rPr>
          <w:rFonts w:cs="Arial"/>
        </w:rPr>
        <w:t xml:space="preserve">can </w:t>
      </w:r>
      <w:r w:rsidR="009C1C66" w:rsidRPr="003939A7">
        <w:rPr>
          <w:rFonts w:cs="Arial"/>
        </w:rPr>
        <w:t xml:space="preserve">play in </w:t>
      </w:r>
      <w:r w:rsidR="008A150D" w:rsidRPr="003939A7">
        <w:rPr>
          <w:rFonts w:cs="Arial"/>
        </w:rPr>
        <w:t xml:space="preserve">promoting </w:t>
      </w:r>
      <w:r w:rsidR="00B644F5" w:rsidRPr="003939A7">
        <w:rPr>
          <w:rFonts w:cs="Arial"/>
        </w:rPr>
        <w:t xml:space="preserve">mental health well-being </w:t>
      </w:r>
      <w:r w:rsidR="0049718E" w:rsidRPr="003939A7">
        <w:rPr>
          <w:rFonts w:cs="Arial"/>
        </w:rPr>
        <w:t xml:space="preserve">both </w:t>
      </w:r>
      <w:r w:rsidR="00B644F5" w:rsidRPr="003939A7">
        <w:rPr>
          <w:rFonts w:cs="Arial"/>
        </w:rPr>
        <w:t>within</w:t>
      </w:r>
      <w:r w:rsidR="009C1C66" w:rsidRPr="003939A7">
        <w:rPr>
          <w:rFonts w:cs="Arial"/>
        </w:rPr>
        <w:t xml:space="preserve"> society as a whole and </w:t>
      </w:r>
      <w:r w:rsidR="00B644F5" w:rsidRPr="003939A7">
        <w:rPr>
          <w:rFonts w:cs="Arial"/>
        </w:rPr>
        <w:t>for</w:t>
      </w:r>
      <w:r w:rsidR="009C1C66" w:rsidRPr="003939A7">
        <w:rPr>
          <w:rFonts w:cs="Arial"/>
        </w:rPr>
        <w:t xml:space="preserve"> individuals (DCMS</w:t>
      </w:r>
      <w:r w:rsidR="009E7767" w:rsidRPr="003939A7">
        <w:rPr>
          <w:rFonts w:cs="Arial"/>
        </w:rPr>
        <w:t>,</w:t>
      </w:r>
      <w:r w:rsidR="009C1C66" w:rsidRPr="003939A7">
        <w:rPr>
          <w:rFonts w:cs="Arial"/>
        </w:rPr>
        <w:t xml:space="preserve"> 2016</w:t>
      </w:r>
      <w:r w:rsidR="0062291C" w:rsidRPr="003939A7">
        <w:rPr>
          <w:rFonts w:cs="Arial"/>
        </w:rPr>
        <w:t>,</w:t>
      </w:r>
      <w:r w:rsidR="0049718E" w:rsidRPr="003939A7">
        <w:rPr>
          <w:rFonts w:cs="Arial"/>
        </w:rPr>
        <w:t xml:space="preserve"> </w:t>
      </w:r>
      <w:r w:rsidR="009E7767" w:rsidRPr="003939A7">
        <w:rPr>
          <w:rFonts w:cs="Arial"/>
        </w:rPr>
        <w:t>p</w:t>
      </w:r>
      <w:r w:rsidR="006550DC" w:rsidRPr="003939A7">
        <w:rPr>
          <w:rFonts w:cs="Arial"/>
        </w:rPr>
        <w:t xml:space="preserve">, </w:t>
      </w:r>
      <w:r w:rsidR="009C1C66" w:rsidRPr="003939A7">
        <w:rPr>
          <w:rFonts w:cs="Arial"/>
        </w:rPr>
        <w:t>15)</w:t>
      </w:r>
      <w:r w:rsidR="0049718E" w:rsidRPr="003939A7">
        <w:rPr>
          <w:rFonts w:cs="Arial"/>
        </w:rPr>
        <w:t>. However</w:t>
      </w:r>
      <w:r w:rsidR="00B644F5" w:rsidRPr="003939A7">
        <w:rPr>
          <w:rFonts w:cs="Arial"/>
        </w:rPr>
        <w:t>,</w:t>
      </w:r>
      <w:r w:rsidR="0049718E" w:rsidRPr="003939A7">
        <w:rPr>
          <w:rFonts w:cs="Arial"/>
        </w:rPr>
        <w:t xml:space="preserve"> this paper </w:t>
      </w:r>
      <w:r w:rsidR="00CF0918" w:rsidRPr="003939A7">
        <w:rPr>
          <w:rFonts w:cs="Arial"/>
        </w:rPr>
        <w:t xml:space="preserve">again </w:t>
      </w:r>
      <w:r w:rsidR="0049718E" w:rsidRPr="003939A7">
        <w:rPr>
          <w:rFonts w:cs="Arial"/>
        </w:rPr>
        <w:t>acknowledge</w:t>
      </w:r>
      <w:r w:rsidR="00B644F5" w:rsidRPr="003939A7">
        <w:rPr>
          <w:rFonts w:cs="Arial"/>
        </w:rPr>
        <w:t>d</w:t>
      </w:r>
      <w:r w:rsidR="0049718E" w:rsidRPr="003939A7">
        <w:rPr>
          <w:rFonts w:cs="Arial"/>
        </w:rPr>
        <w:t xml:space="preserve"> the </w:t>
      </w:r>
      <w:r w:rsidR="009E5D3E" w:rsidRPr="003939A7">
        <w:rPr>
          <w:rFonts w:cs="Arial"/>
        </w:rPr>
        <w:t xml:space="preserve">lack </w:t>
      </w:r>
      <w:r w:rsidR="0049718E" w:rsidRPr="003939A7">
        <w:rPr>
          <w:rFonts w:cs="Arial"/>
        </w:rPr>
        <w:t xml:space="preserve">of robust </w:t>
      </w:r>
      <w:r w:rsidR="009E5D3E" w:rsidRPr="003939A7">
        <w:rPr>
          <w:rFonts w:cs="Arial"/>
        </w:rPr>
        <w:t>evidence</w:t>
      </w:r>
      <w:r w:rsidR="00B644F5" w:rsidRPr="003939A7">
        <w:rPr>
          <w:rFonts w:cs="Arial"/>
        </w:rPr>
        <w:t>,</w:t>
      </w:r>
      <w:r w:rsidR="009E5D3E" w:rsidRPr="003939A7">
        <w:rPr>
          <w:rFonts w:cs="Arial"/>
        </w:rPr>
        <w:t xml:space="preserve"> </w:t>
      </w:r>
      <w:r w:rsidR="0073246C" w:rsidRPr="003939A7">
        <w:rPr>
          <w:rFonts w:cs="Arial"/>
        </w:rPr>
        <w:t>especially with regard to the potential of heritage in promoting well</w:t>
      </w:r>
      <w:r w:rsidR="00B644F5" w:rsidRPr="003939A7">
        <w:rPr>
          <w:rFonts w:cs="Arial"/>
        </w:rPr>
        <w:t>-</w:t>
      </w:r>
      <w:r w:rsidR="0073246C" w:rsidRPr="003939A7">
        <w:rPr>
          <w:rFonts w:cs="Arial"/>
        </w:rPr>
        <w:t>being</w:t>
      </w:r>
      <w:r w:rsidR="00B644F5" w:rsidRPr="003939A7">
        <w:rPr>
          <w:rFonts w:cs="Arial"/>
        </w:rPr>
        <w:t>; it</w:t>
      </w:r>
      <w:r w:rsidR="0073246C" w:rsidRPr="003939A7">
        <w:rPr>
          <w:rFonts w:cs="Arial"/>
        </w:rPr>
        <w:t xml:space="preserve"> not</w:t>
      </w:r>
      <w:r w:rsidR="00B644F5" w:rsidRPr="003939A7">
        <w:rPr>
          <w:rFonts w:cs="Arial"/>
        </w:rPr>
        <w:t>ed</w:t>
      </w:r>
      <w:r w:rsidR="0049718E" w:rsidRPr="003939A7">
        <w:rPr>
          <w:rFonts w:cs="Arial"/>
        </w:rPr>
        <w:t xml:space="preserve"> that m</w:t>
      </w:r>
      <w:r w:rsidR="009E5D3E" w:rsidRPr="003939A7">
        <w:rPr>
          <w:rFonts w:cs="Arial"/>
        </w:rPr>
        <w:t xml:space="preserve">uch of the limited literature </w:t>
      </w:r>
      <w:r w:rsidR="00B97913" w:rsidRPr="003939A7">
        <w:rPr>
          <w:rFonts w:cs="Arial"/>
        </w:rPr>
        <w:t>focuse</w:t>
      </w:r>
      <w:r w:rsidR="00B644F5" w:rsidRPr="003939A7">
        <w:rPr>
          <w:rFonts w:cs="Arial"/>
        </w:rPr>
        <w:t>d</w:t>
      </w:r>
      <w:r w:rsidR="0049718E" w:rsidRPr="003939A7">
        <w:rPr>
          <w:rFonts w:cs="Arial"/>
        </w:rPr>
        <w:t xml:space="preserve"> upon </w:t>
      </w:r>
      <w:r w:rsidR="009E5D3E" w:rsidRPr="003939A7">
        <w:rPr>
          <w:rFonts w:cs="Arial"/>
        </w:rPr>
        <w:t>heritage</w:t>
      </w:r>
      <w:r w:rsidR="000A6CA6" w:rsidRPr="003939A7">
        <w:rPr>
          <w:rFonts w:cs="Arial"/>
        </w:rPr>
        <w:t>’s potential</w:t>
      </w:r>
      <w:r w:rsidR="009E5D3E" w:rsidRPr="003939A7">
        <w:rPr>
          <w:rFonts w:cs="Arial"/>
        </w:rPr>
        <w:t xml:space="preserve"> to contribute to </w:t>
      </w:r>
      <w:r w:rsidR="000A6CA6" w:rsidRPr="003939A7">
        <w:rPr>
          <w:rFonts w:cs="Arial"/>
        </w:rPr>
        <w:t xml:space="preserve">well-being </w:t>
      </w:r>
      <w:r w:rsidR="009E5D3E" w:rsidRPr="003939A7">
        <w:rPr>
          <w:rFonts w:cs="Arial"/>
        </w:rPr>
        <w:t>ra</w:t>
      </w:r>
      <w:r w:rsidR="0049718E" w:rsidRPr="003939A7">
        <w:rPr>
          <w:rFonts w:cs="Arial"/>
        </w:rPr>
        <w:t xml:space="preserve">ther than empirical assessment of </w:t>
      </w:r>
      <w:r w:rsidR="00C84E46" w:rsidRPr="003939A7">
        <w:rPr>
          <w:rFonts w:cs="Arial"/>
        </w:rPr>
        <w:t>its</w:t>
      </w:r>
      <w:r w:rsidR="000A6CA6" w:rsidRPr="003939A7">
        <w:rPr>
          <w:rFonts w:cs="Arial"/>
        </w:rPr>
        <w:t xml:space="preserve"> </w:t>
      </w:r>
      <w:r w:rsidR="0049718E" w:rsidRPr="003939A7">
        <w:rPr>
          <w:rFonts w:cs="Arial"/>
        </w:rPr>
        <w:t>impact. Ultimately</w:t>
      </w:r>
      <w:r w:rsidR="00B06169" w:rsidRPr="003939A7">
        <w:rPr>
          <w:rFonts w:cs="Arial"/>
        </w:rPr>
        <w:t>,</w:t>
      </w:r>
      <w:r w:rsidR="0049718E" w:rsidRPr="003939A7">
        <w:rPr>
          <w:rFonts w:cs="Arial"/>
        </w:rPr>
        <w:t xml:space="preserve"> Darvil</w:t>
      </w:r>
      <w:r w:rsidR="007903E7" w:rsidRPr="003939A7">
        <w:rPr>
          <w:rFonts w:cs="Arial"/>
        </w:rPr>
        <w:t>l</w:t>
      </w:r>
      <w:r w:rsidR="0049718E" w:rsidRPr="003939A7">
        <w:rPr>
          <w:rFonts w:cs="Arial"/>
        </w:rPr>
        <w:t xml:space="preserve"> </w:t>
      </w:r>
      <w:r w:rsidR="0062291C" w:rsidRPr="003939A7">
        <w:rPr>
          <w:rFonts w:cs="Arial"/>
        </w:rPr>
        <w:t>and colleagues</w:t>
      </w:r>
      <w:r w:rsidR="0049718E" w:rsidRPr="003939A7">
        <w:rPr>
          <w:rFonts w:cs="Arial"/>
        </w:rPr>
        <w:t xml:space="preserve"> (2018) assert the urgent need for more fully evaluated studies exploring the impact of heritage on well-being. </w:t>
      </w:r>
    </w:p>
    <w:p w14:paraId="1A00C169" w14:textId="77777777" w:rsidR="00876312" w:rsidRPr="003939A7" w:rsidRDefault="00876312" w:rsidP="00876312">
      <w:pPr>
        <w:spacing w:after="0" w:line="360" w:lineRule="auto"/>
        <w:jc w:val="both"/>
        <w:rPr>
          <w:rFonts w:cs="Arial"/>
        </w:rPr>
      </w:pPr>
    </w:p>
    <w:p w14:paraId="2A08A44D" w14:textId="043F7776" w:rsidR="00381C49" w:rsidRPr="003939A7" w:rsidRDefault="00EF635C" w:rsidP="00381C49">
      <w:pPr>
        <w:spacing w:after="0" w:line="360" w:lineRule="auto"/>
        <w:jc w:val="both"/>
        <w:rPr>
          <w:rFonts w:cs="Arial"/>
        </w:rPr>
      </w:pPr>
      <w:r w:rsidRPr="003939A7">
        <w:rPr>
          <w:rFonts w:cs="Arial"/>
        </w:rPr>
        <w:t xml:space="preserve">Given that the literature about the potential of </w:t>
      </w:r>
      <w:r w:rsidR="000A6CA6" w:rsidRPr="003939A7">
        <w:rPr>
          <w:rFonts w:cs="Arial"/>
        </w:rPr>
        <w:t>heritage to improve</w:t>
      </w:r>
      <w:r w:rsidRPr="003939A7">
        <w:rPr>
          <w:rFonts w:cs="Arial"/>
        </w:rPr>
        <w:t xml:space="preserve"> mental health and/or well-being is sparse, the current study</w:t>
      </w:r>
      <w:r w:rsidR="007023D5" w:rsidRPr="003939A7">
        <w:rPr>
          <w:rFonts w:cs="Arial"/>
        </w:rPr>
        <w:t>, known as Human Henge,</w:t>
      </w:r>
      <w:r w:rsidRPr="003939A7">
        <w:rPr>
          <w:rFonts w:cs="Arial"/>
        </w:rPr>
        <w:t xml:space="preserve"> aimed to assess the </w:t>
      </w:r>
      <w:r w:rsidR="008E3546" w:rsidRPr="003939A7">
        <w:rPr>
          <w:rFonts w:cs="Arial"/>
        </w:rPr>
        <w:t>impact</w:t>
      </w:r>
      <w:r w:rsidR="005A0AB2" w:rsidRPr="003939A7">
        <w:rPr>
          <w:rFonts w:cs="Arial"/>
        </w:rPr>
        <w:t xml:space="preserve"> of </w:t>
      </w:r>
      <w:r w:rsidR="00A02437" w:rsidRPr="003939A7">
        <w:rPr>
          <w:rFonts w:cs="Arial"/>
        </w:rPr>
        <w:t>activit</w:t>
      </w:r>
      <w:r w:rsidR="00B06169" w:rsidRPr="003939A7">
        <w:rPr>
          <w:rFonts w:cs="Arial"/>
        </w:rPr>
        <w:t>ies</w:t>
      </w:r>
      <w:r w:rsidR="00A02437" w:rsidRPr="003939A7">
        <w:rPr>
          <w:rFonts w:cs="Arial"/>
        </w:rPr>
        <w:t xml:space="preserve"> </w:t>
      </w:r>
      <w:r w:rsidR="00B06169" w:rsidRPr="003939A7">
        <w:rPr>
          <w:rFonts w:cs="Arial"/>
        </w:rPr>
        <w:t>involving the exploration of the</w:t>
      </w:r>
      <w:r w:rsidR="00340845" w:rsidRPr="003939A7">
        <w:rPr>
          <w:rFonts w:cs="Arial"/>
        </w:rPr>
        <w:t xml:space="preserve"> </w:t>
      </w:r>
      <w:r w:rsidR="009B7DFA" w:rsidRPr="003939A7">
        <w:rPr>
          <w:rFonts w:cs="Arial"/>
        </w:rPr>
        <w:t xml:space="preserve">Neolithic </w:t>
      </w:r>
      <w:r w:rsidR="00340845" w:rsidRPr="003939A7">
        <w:rPr>
          <w:rFonts w:cs="Arial"/>
        </w:rPr>
        <w:t>landscape</w:t>
      </w:r>
      <w:r w:rsidR="00C84E46" w:rsidRPr="003939A7">
        <w:rPr>
          <w:rFonts w:cs="Arial"/>
        </w:rPr>
        <w:t>s</w:t>
      </w:r>
      <w:r w:rsidR="00340845" w:rsidRPr="003939A7">
        <w:rPr>
          <w:rFonts w:cs="Arial"/>
        </w:rPr>
        <w:t xml:space="preserve"> </w:t>
      </w:r>
      <w:r w:rsidR="00B06169" w:rsidRPr="003939A7">
        <w:rPr>
          <w:rFonts w:cs="Arial"/>
        </w:rPr>
        <w:t>by</w:t>
      </w:r>
      <w:r w:rsidR="001A1951" w:rsidRPr="003939A7">
        <w:rPr>
          <w:rFonts w:cs="Arial"/>
        </w:rPr>
        <w:t xml:space="preserve"> a </w:t>
      </w:r>
      <w:r w:rsidR="00AB3ED2" w:rsidRPr="003939A7">
        <w:rPr>
          <w:rFonts w:cs="Arial"/>
        </w:rPr>
        <w:t>group of participants</w:t>
      </w:r>
      <w:r w:rsidR="001A1951" w:rsidRPr="003939A7">
        <w:rPr>
          <w:rFonts w:cs="Arial"/>
        </w:rPr>
        <w:t xml:space="preserve"> with mental health problems. </w:t>
      </w:r>
      <w:r w:rsidR="00316FD3" w:rsidRPr="003939A7">
        <w:rPr>
          <w:rFonts w:cs="Arial"/>
        </w:rPr>
        <w:t xml:space="preserve">The </w:t>
      </w:r>
      <w:r w:rsidR="00AA4EB5" w:rsidRPr="003939A7">
        <w:rPr>
          <w:rFonts w:cs="Arial"/>
        </w:rPr>
        <w:t xml:space="preserve">Human Henge </w:t>
      </w:r>
      <w:r w:rsidR="00316FD3" w:rsidRPr="003939A7">
        <w:rPr>
          <w:rFonts w:cs="Arial"/>
        </w:rPr>
        <w:t xml:space="preserve">intervention </w:t>
      </w:r>
      <w:r w:rsidR="00AA4EB5" w:rsidRPr="003939A7">
        <w:rPr>
          <w:rFonts w:cs="Arial"/>
        </w:rPr>
        <w:t>was</w:t>
      </w:r>
      <w:r w:rsidR="00316FD3" w:rsidRPr="003939A7">
        <w:rPr>
          <w:rFonts w:cs="Arial"/>
        </w:rPr>
        <w:t xml:space="preserve"> a facilitated programme where participants with mental health problems</w:t>
      </w:r>
      <w:r w:rsidR="005309EB" w:rsidRPr="003939A7">
        <w:rPr>
          <w:rFonts w:cs="Arial"/>
        </w:rPr>
        <w:t xml:space="preserve"> </w:t>
      </w:r>
      <w:r w:rsidR="00316FD3" w:rsidRPr="003939A7">
        <w:rPr>
          <w:rFonts w:cs="Arial"/>
        </w:rPr>
        <w:t>came together to learn and adventure</w:t>
      </w:r>
      <w:r w:rsidR="000A6CA6" w:rsidRPr="003939A7">
        <w:rPr>
          <w:rFonts w:cs="Arial"/>
        </w:rPr>
        <w:t xml:space="preserve"> in </w:t>
      </w:r>
      <w:r w:rsidR="00236E2F" w:rsidRPr="003939A7">
        <w:rPr>
          <w:rFonts w:cs="Arial"/>
        </w:rPr>
        <w:t xml:space="preserve">landscape, focusing on sites and monuments of Neolithic and Bronze Age date (4000 – 1000 BC) within the World Heritage Site of Stonehenge and Avebury in Wiltshire, UK. These places were chosen because of the relatively easy physical access facilitated by English Heritage and the National Trust, and the intellectual challenges provided by exploring cultural contexts quite different from anything likely to have been encountered by the participants in the modern world. The use of neutral safe spaces in this way provided the platform on which to build a programme of cultural heritage therapy. Experts, carers, support workers, and contributors from a range of cultures supported journeys through the chosen landscapes, as explained more fully elsewhere (Darvill et al. 2019, chapters  5 to 8). In brief, each programme involved ten half-day </w:t>
      </w:r>
      <w:r w:rsidR="00316FD3" w:rsidRPr="003939A7">
        <w:rPr>
          <w:rFonts w:cs="Arial"/>
        </w:rPr>
        <w:t xml:space="preserve">ten half-day sessions held at a range of </w:t>
      </w:r>
      <w:r w:rsidR="00B06169" w:rsidRPr="003939A7">
        <w:rPr>
          <w:rFonts w:cs="Arial"/>
        </w:rPr>
        <w:t>sites</w:t>
      </w:r>
      <w:r w:rsidR="00316FD3" w:rsidRPr="003939A7">
        <w:rPr>
          <w:rFonts w:cs="Arial"/>
        </w:rPr>
        <w:t xml:space="preserve">, each </w:t>
      </w:r>
      <w:r w:rsidR="00B06169" w:rsidRPr="003939A7">
        <w:rPr>
          <w:rFonts w:cs="Arial"/>
        </w:rPr>
        <w:t xml:space="preserve">tied to </w:t>
      </w:r>
      <w:r w:rsidR="00316FD3" w:rsidRPr="003939A7">
        <w:rPr>
          <w:rFonts w:cs="Arial"/>
        </w:rPr>
        <w:t>a specific set of activities. Participants walked, listened to experts, shared their own experti</w:t>
      </w:r>
      <w:r w:rsidR="00C84E46" w:rsidRPr="003939A7">
        <w:rPr>
          <w:rFonts w:cs="Arial"/>
        </w:rPr>
        <w:t>z</w:t>
      </w:r>
      <w:r w:rsidR="00316FD3" w:rsidRPr="003939A7">
        <w:rPr>
          <w:rFonts w:cs="Arial"/>
        </w:rPr>
        <w:t>e, handled artefacts, were encouraged to sing, to connect with ancestors, to craft, to tell stories, to write blogs</w:t>
      </w:r>
      <w:r w:rsidR="00B06169" w:rsidRPr="003939A7">
        <w:rPr>
          <w:rFonts w:cs="Arial"/>
        </w:rPr>
        <w:t>,</w:t>
      </w:r>
      <w:r w:rsidR="00316FD3" w:rsidRPr="003939A7">
        <w:rPr>
          <w:rFonts w:cs="Arial"/>
        </w:rPr>
        <w:t xml:space="preserve"> and to take photographs</w:t>
      </w:r>
      <w:r w:rsidR="00417DB7" w:rsidRPr="003939A7">
        <w:rPr>
          <w:rFonts w:cs="Arial"/>
        </w:rPr>
        <w:t xml:space="preserve"> (</w:t>
      </w:r>
      <w:r w:rsidR="00C63E6F" w:rsidRPr="003939A7">
        <w:rPr>
          <w:rFonts w:cs="Arial"/>
        </w:rPr>
        <w:t>Figure1)</w:t>
      </w:r>
      <w:r w:rsidR="00316FD3" w:rsidRPr="003939A7">
        <w:rPr>
          <w:rFonts w:cs="Arial"/>
        </w:rPr>
        <w:t xml:space="preserve">. </w:t>
      </w:r>
      <w:r w:rsidR="00BE0811" w:rsidRPr="003939A7">
        <w:rPr>
          <w:rFonts w:cs="Arial"/>
        </w:rPr>
        <w:t>The programme was run three times</w:t>
      </w:r>
      <w:r w:rsidR="00B06169" w:rsidRPr="003939A7">
        <w:rPr>
          <w:rFonts w:cs="Arial"/>
        </w:rPr>
        <w:t>,</w:t>
      </w:r>
      <w:r w:rsidR="00BE0811" w:rsidRPr="003939A7">
        <w:rPr>
          <w:rFonts w:cs="Arial"/>
        </w:rPr>
        <w:t xml:space="preserve"> and a systematic research evaluation </w:t>
      </w:r>
      <w:r w:rsidR="00CF0918" w:rsidRPr="003939A7">
        <w:rPr>
          <w:rFonts w:cs="Arial"/>
        </w:rPr>
        <w:t>ran</w:t>
      </w:r>
      <w:r w:rsidR="00BE0811" w:rsidRPr="003939A7">
        <w:rPr>
          <w:rFonts w:cs="Arial"/>
        </w:rPr>
        <w:t xml:space="preserve"> alongside. Group</w:t>
      </w:r>
      <w:r w:rsidR="00B06169" w:rsidRPr="003939A7">
        <w:rPr>
          <w:rFonts w:cs="Arial"/>
        </w:rPr>
        <w:t>s</w:t>
      </w:r>
      <w:r w:rsidR="00BE0811" w:rsidRPr="003939A7">
        <w:rPr>
          <w:rFonts w:cs="Arial"/>
        </w:rPr>
        <w:t xml:space="preserve"> 1 and 2 were based at Stonehenge in autumn 2016 and spring 2017, whilst Group 3 was based at Avebury during </w:t>
      </w:r>
      <w:r w:rsidR="000A6CA6" w:rsidRPr="003939A7">
        <w:rPr>
          <w:rFonts w:cs="Arial"/>
        </w:rPr>
        <w:t xml:space="preserve">spring </w:t>
      </w:r>
      <w:r w:rsidR="00BE0811" w:rsidRPr="003939A7">
        <w:rPr>
          <w:rFonts w:cs="Arial"/>
        </w:rPr>
        <w:t xml:space="preserve">2018 with only slight variations in its delivery. </w:t>
      </w:r>
      <w:r w:rsidR="00DD0660" w:rsidRPr="003939A7">
        <w:rPr>
          <w:rFonts w:cs="Arial"/>
        </w:rPr>
        <w:t xml:space="preserve">We decided to move the location of the Neolithic site as we were interested to explore whether a contrasting open stones in Avebury would have different results than the closed stones of Stonehenge. Furthermore Stonehenge has more prestige publicly than the stones in Avebury and we </w:t>
      </w:r>
      <w:r w:rsidR="00DD0660" w:rsidRPr="003939A7">
        <w:rPr>
          <w:rFonts w:cs="Arial"/>
        </w:rPr>
        <w:lastRenderedPageBreak/>
        <w:t xml:space="preserve">were also interested in exploring the impact of this. </w:t>
      </w:r>
      <w:r w:rsidR="00BE0811" w:rsidRPr="003939A7">
        <w:rPr>
          <w:rFonts w:cs="Arial"/>
        </w:rPr>
        <w:t xml:space="preserve">Each group also </w:t>
      </w:r>
      <w:r w:rsidR="002D7E55" w:rsidRPr="003939A7">
        <w:rPr>
          <w:rFonts w:cs="Arial"/>
        </w:rPr>
        <w:t>devised</w:t>
      </w:r>
      <w:r w:rsidR="00BE0811" w:rsidRPr="003939A7">
        <w:rPr>
          <w:rFonts w:cs="Arial"/>
        </w:rPr>
        <w:t xml:space="preserve"> their own celebratory session at the end of their programme. </w:t>
      </w:r>
      <w:r w:rsidR="00316FD3" w:rsidRPr="003939A7">
        <w:rPr>
          <w:rFonts w:cs="Arial"/>
        </w:rPr>
        <w:t xml:space="preserve">The research question that framed the research </w:t>
      </w:r>
      <w:r w:rsidR="0062291C" w:rsidRPr="003939A7">
        <w:rPr>
          <w:rFonts w:cs="Arial"/>
        </w:rPr>
        <w:t>was “</w:t>
      </w:r>
      <w:r w:rsidR="00316FD3" w:rsidRPr="003939A7">
        <w:rPr>
          <w:rFonts w:cs="Arial"/>
        </w:rPr>
        <w:t>Does a creative exploration of historic landscape achieve sustained, measurable mental health well-being outcomes for people with mental health conditions?</w:t>
      </w:r>
      <w:r w:rsidR="0062291C" w:rsidRPr="003939A7">
        <w:rPr>
          <w:rFonts w:cs="Arial"/>
        </w:rPr>
        <w:t>”</w:t>
      </w:r>
    </w:p>
    <w:p w14:paraId="0E156309" w14:textId="77777777" w:rsidR="00C63E6F" w:rsidRPr="003939A7" w:rsidRDefault="00C63E6F" w:rsidP="00381C49">
      <w:pPr>
        <w:spacing w:after="0" w:line="360" w:lineRule="auto"/>
        <w:jc w:val="both"/>
        <w:rPr>
          <w:rFonts w:cs="Arial"/>
        </w:rPr>
      </w:pPr>
    </w:p>
    <w:p w14:paraId="26F68271" w14:textId="37F893F4" w:rsidR="00106C8C" w:rsidRPr="003939A7" w:rsidRDefault="00106C8C" w:rsidP="00381C49">
      <w:pPr>
        <w:spacing w:after="0" w:line="360" w:lineRule="auto"/>
        <w:jc w:val="both"/>
        <w:rPr>
          <w:rFonts w:cs="Arial"/>
        </w:rPr>
      </w:pPr>
      <w:r w:rsidRPr="003939A7">
        <w:rPr>
          <w:rFonts w:cs="Arial"/>
          <w:noProof/>
          <w:lang w:eastAsia="en-GB"/>
        </w:rPr>
        <w:drawing>
          <wp:inline distT="0" distB="0" distL="0" distR="0" wp14:anchorId="1D239908" wp14:editId="64D93014">
            <wp:extent cx="4552366" cy="32062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4726" cy="3207924"/>
                    </a:xfrm>
                    <a:prstGeom prst="rect">
                      <a:avLst/>
                    </a:prstGeom>
                    <a:noFill/>
                  </pic:spPr>
                </pic:pic>
              </a:graphicData>
            </a:graphic>
          </wp:inline>
        </w:drawing>
      </w:r>
    </w:p>
    <w:p w14:paraId="2C178E83" w14:textId="7B164E92" w:rsidR="00C63E6F" w:rsidRPr="003939A7" w:rsidRDefault="00C63E6F" w:rsidP="00C63E6F">
      <w:pPr>
        <w:keepNext/>
        <w:spacing w:after="0" w:line="360" w:lineRule="auto"/>
        <w:jc w:val="both"/>
      </w:pPr>
    </w:p>
    <w:p w14:paraId="1D83E472" w14:textId="1244166E" w:rsidR="00C63E6F" w:rsidRPr="003939A7" w:rsidRDefault="00C63E6F" w:rsidP="00C63E6F">
      <w:pPr>
        <w:pStyle w:val="Caption"/>
        <w:jc w:val="both"/>
        <w:rPr>
          <w:rFonts w:cs="Arial"/>
        </w:rPr>
      </w:pPr>
      <w:r w:rsidRPr="003939A7">
        <w:t xml:space="preserve">Figure </w:t>
      </w:r>
      <w:r w:rsidR="003939A7" w:rsidRPr="003939A7">
        <w:fldChar w:fldCharType="begin"/>
      </w:r>
      <w:r w:rsidR="003939A7" w:rsidRPr="003939A7">
        <w:instrText xml:space="preserve"> SEQ Figure \* ARABIC </w:instrText>
      </w:r>
      <w:r w:rsidR="003939A7" w:rsidRPr="003939A7">
        <w:fldChar w:fldCharType="separate"/>
      </w:r>
      <w:r w:rsidRPr="003939A7">
        <w:rPr>
          <w:noProof/>
        </w:rPr>
        <w:t>1</w:t>
      </w:r>
      <w:r w:rsidR="003939A7" w:rsidRPr="003939A7">
        <w:rPr>
          <w:noProof/>
        </w:rPr>
        <w:fldChar w:fldCharType="end"/>
      </w:r>
      <w:r w:rsidRPr="003939A7">
        <w:t xml:space="preserve"> The Human Henge Programme at Stonehenge</w:t>
      </w:r>
    </w:p>
    <w:p w14:paraId="2893D891" w14:textId="77777777" w:rsidR="00316FD3" w:rsidRPr="003939A7" w:rsidRDefault="00316FD3" w:rsidP="00381C49">
      <w:pPr>
        <w:spacing w:after="0" w:line="360" w:lineRule="auto"/>
        <w:jc w:val="both"/>
        <w:rPr>
          <w:rFonts w:cs="Arial"/>
        </w:rPr>
      </w:pPr>
    </w:p>
    <w:p w14:paraId="4AE80E2A" w14:textId="77777777" w:rsidR="005C398B" w:rsidRPr="003939A7" w:rsidRDefault="00257838" w:rsidP="00F521BB">
      <w:pPr>
        <w:pStyle w:val="ListParagraph"/>
        <w:numPr>
          <w:ilvl w:val="0"/>
          <w:numId w:val="8"/>
        </w:numPr>
        <w:spacing w:after="0" w:line="360" w:lineRule="auto"/>
        <w:jc w:val="both"/>
        <w:rPr>
          <w:rFonts w:cs="Arial"/>
          <w:b/>
        </w:rPr>
      </w:pPr>
      <w:r w:rsidRPr="003939A7">
        <w:rPr>
          <w:rFonts w:cs="Arial"/>
          <w:b/>
        </w:rPr>
        <w:t>Methods</w:t>
      </w:r>
      <w:r w:rsidR="005C398B" w:rsidRPr="003939A7">
        <w:rPr>
          <w:rFonts w:cs="Arial"/>
          <w:b/>
        </w:rPr>
        <w:t xml:space="preserve"> </w:t>
      </w:r>
    </w:p>
    <w:p w14:paraId="437432C8" w14:textId="77777777" w:rsidR="00F37329" w:rsidRPr="003939A7" w:rsidRDefault="00F37329" w:rsidP="00444F26">
      <w:pPr>
        <w:spacing w:after="0" w:line="360" w:lineRule="auto"/>
        <w:jc w:val="both"/>
        <w:rPr>
          <w:rFonts w:cs="Arial"/>
          <w:i/>
        </w:rPr>
      </w:pPr>
      <w:r w:rsidRPr="003939A7">
        <w:rPr>
          <w:rFonts w:cs="Arial"/>
          <w:i/>
        </w:rPr>
        <w:t>2.1. Study design</w:t>
      </w:r>
    </w:p>
    <w:p w14:paraId="5BCCEE1C" w14:textId="17E8A7E7" w:rsidR="00316FD3" w:rsidRPr="003939A7" w:rsidRDefault="00316FD3" w:rsidP="00444F26">
      <w:pPr>
        <w:spacing w:after="0" w:line="360" w:lineRule="auto"/>
        <w:jc w:val="both"/>
        <w:rPr>
          <w:rFonts w:cs="Arial"/>
        </w:rPr>
      </w:pPr>
      <w:r w:rsidRPr="003939A7">
        <w:rPr>
          <w:rFonts w:cs="Arial"/>
        </w:rPr>
        <w:t xml:space="preserve">This was an evaluation study </w:t>
      </w:r>
      <w:r w:rsidR="00BE0811" w:rsidRPr="003939A7">
        <w:rPr>
          <w:rFonts w:cs="Arial"/>
        </w:rPr>
        <w:t>using mixed-methods. Mixed</w:t>
      </w:r>
      <w:r w:rsidR="0098778F" w:rsidRPr="003939A7">
        <w:rPr>
          <w:rFonts w:cs="Arial"/>
        </w:rPr>
        <w:t>-</w:t>
      </w:r>
      <w:r w:rsidR="00BE0811" w:rsidRPr="003939A7">
        <w:rPr>
          <w:rFonts w:cs="Arial"/>
        </w:rPr>
        <w:t>method research was chosen as it enabled methodological triangulation</w:t>
      </w:r>
      <w:r w:rsidR="0098778F" w:rsidRPr="003939A7">
        <w:rPr>
          <w:rFonts w:cs="Arial"/>
        </w:rPr>
        <w:t xml:space="preserve"> as an </w:t>
      </w:r>
      <w:r w:rsidR="00C84E46" w:rsidRPr="003939A7">
        <w:rPr>
          <w:rFonts w:cs="Arial"/>
        </w:rPr>
        <w:t>approach that</w:t>
      </w:r>
      <w:r w:rsidR="0098778F" w:rsidRPr="003939A7">
        <w:rPr>
          <w:rFonts w:cs="Arial"/>
        </w:rPr>
        <w:t xml:space="preserve"> arguably</w:t>
      </w:r>
      <w:r w:rsidR="00BE0811" w:rsidRPr="003939A7">
        <w:rPr>
          <w:rFonts w:cs="Arial"/>
        </w:rPr>
        <w:t xml:space="preserve">  lead</w:t>
      </w:r>
      <w:r w:rsidR="0098778F" w:rsidRPr="003939A7">
        <w:rPr>
          <w:rFonts w:cs="Arial"/>
        </w:rPr>
        <w:t>s</w:t>
      </w:r>
      <w:r w:rsidR="00BE0811" w:rsidRPr="003939A7">
        <w:rPr>
          <w:rFonts w:cs="Arial"/>
        </w:rPr>
        <w:t xml:space="preserve"> to more rigorous results (McKim</w:t>
      </w:r>
      <w:r w:rsidR="009E7767" w:rsidRPr="003939A7">
        <w:rPr>
          <w:rFonts w:cs="Arial"/>
        </w:rPr>
        <w:t>,</w:t>
      </w:r>
      <w:r w:rsidR="00BE0811" w:rsidRPr="003939A7">
        <w:rPr>
          <w:rFonts w:cs="Arial"/>
        </w:rPr>
        <w:t xml:space="preserve"> 2017), as well as offering the opportunity to explore more complex aspects of the human and social world</w:t>
      </w:r>
      <w:r w:rsidR="0098778F" w:rsidRPr="003939A7">
        <w:rPr>
          <w:rFonts w:cs="Arial"/>
        </w:rPr>
        <w:t>s</w:t>
      </w:r>
      <w:r w:rsidR="00BE0811" w:rsidRPr="003939A7">
        <w:rPr>
          <w:rFonts w:cs="Arial"/>
        </w:rPr>
        <w:t xml:space="preserve"> than would otherwise </w:t>
      </w:r>
      <w:r w:rsidR="006836E7" w:rsidRPr="003939A7">
        <w:rPr>
          <w:rFonts w:cs="Arial"/>
        </w:rPr>
        <w:t xml:space="preserve">be </w:t>
      </w:r>
      <w:r w:rsidR="0098778F" w:rsidRPr="003939A7">
        <w:rPr>
          <w:rFonts w:cs="Arial"/>
        </w:rPr>
        <w:t xml:space="preserve">possible </w:t>
      </w:r>
      <w:r w:rsidR="00BE0811" w:rsidRPr="003939A7">
        <w:rPr>
          <w:rFonts w:cs="Arial"/>
        </w:rPr>
        <w:t>from a single approach (Malina et al.</w:t>
      </w:r>
      <w:r w:rsidR="009E7767" w:rsidRPr="003939A7">
        <w:rPr>
          <w:rFonts w:cs="Arial"/>
        </w:rPr>
        <w:t>,</w:t>
      </w:r>
      <w:r w:rsidR="00BE0811" w:rsidRPr="003939A7">
        <w:rPr>
          <w:rFonts w:cs="Arial"/>
        </w:rPr>
        <w:t xml:space="preserve"> 2011).  Data were collected using both quantitative and qualitative methods (Figure </w:t>
      </w:r>
      <w:r w:rsidR="00C63E6F" w:rsidRPr="003939A7">
        <w:rPr>
          <w:rFonts w:cs="Arial"/>
        </w:rPr>
        <w:t>2</w:t>
      </w:r>
      <w:r w:rsidR="00BE0811" w:rsidRPr="003939A7">
        <w:rPr>
          <w:rFonts w:cs="Arial"/>
        </w:rPr>
        <w:t>)</w:t>
      </w:r>
      <w:r w:rsidR="0098778F" w:rsidRPr="003939A7">
        <w:rPr>
          <w:rFonts w:cs="Arial"/>
        </w:rPr>
        <w:t xml:space="preserve"> at</w:t>
      </w:r>
      <w:r w:rsidR="00BE0811" w:rsidRPr="003939A7">
        <w:rPr>
          <w:rFonts w:cs="Arial"/>
        </w:rPr>
        <w:t xml:space="preserve"> four intervals (Baseline</w:t>
      </w:r>
      <w:r w:rsidR="0098778F" w:rsidRPr="003939A7">
        <w:rPr>
          <w:rFonts w:cs="Arial"/>
        </w:rPr>
        <w:t>;</w:t>
      </w:r>
      <w:r w:rsidR="00BE0811" w:rsidRPr="003939A7">
        <w:rPr>
          <w:rFonts w:cs="Arial"/>
        </w:rPr>
        <w:t xml:space="preserve"> mid 10 week </w:t>
      </w:r>
      <w:r w:rsidR="00780864" w:rsidRPr="003939A7">
        <w:rPr>
          <w:rFonts w:cs="Arial"/>
        </w:rPr>
        <w:t>intervention</w:t>
      </w:r>
      <w:r w:rsidR="0098778F" w:rsidRPr="003939A7">
        <w:rPr>
          <w:rFonts w:cs="Arial"/>
        </w:rPr>
        <w:t>;</w:t>
      </w:r>
      <w:r w:rsidR="00BE0811" w:rsidRPr="003939A7">
        <w:rPr>
          <w:rFonts w:cs="Arial"/>
        </w:rPr>
        <w:t xml:space="preserve"> end of ten week </w:t>
      </w:r>
      <w:r w:rsidR="00780864" w:rsidRPr="003939A7">
        <w:rPr>
          <w:rFonts w:cs="Arial"/>
        </w:rPr>
        <w:t>intervention</w:t>
      </w:r>
      <w:r w:rsidR="0098778F" w:rsidRPr="003939A7">
        <w:rPr>
          <w:rFonts w:cs="Arial"/>
        </w:rPr>
        <w:t>;</w:t>
      </w:r>
      <w:r w:rsidR="00780864" w:rsidRPr="003939A7">
        <w:rPr>
          <w:rFonts w:cs="Arial"/>
        </w:rPr>
        <w:t xml:space="preserve"> </w:t>
      </w:r>
      <w:r w:rsidR="00BE0811" w:rsidRPr="003939A7">
        <w:rPr>
          <w:rFonts w:cs="Arial"/>
        </w:rPr>
        <w:t>and 1 year post</w:t>
      </w:r>
      <w:r w:rsidR="0098778F" w:rsidRPr="003939A7">
        <w:rPr>
          <w:rFonts w:cs="Arial"/>
        </w:rPr>
        <w:t>-</w:t>
      </w:r>
      <w:r w:rsidR="00780864" w:rsidRPr="003939A7">
        <w:rPr>
          <w:rFonts w:cs="Arial"/>
        </w:rPr>
        <w:t>intervention</w:t>
      </w:r>
      <w:r w:rsidR="00BE0811" w:rsidRPr="003939A7">
        <w:rPr>
          <w:rFonts w:cs="Arial"/>
        </w:rPr>
        <w:t>).</w:t>
      </w:r>
      <w:r w:rsidR="00F270A7" w:rsidRPr="003939A7">
        <w:rPr>
          <w:rFonts w:cs="Arial"/>
        </w:rPr>
        <w:t xml:space="preserve"> </w:t>
      </w:r>
      <w:r w:rsidR="005D1B28" w:rsidRPr="003939A7">
        <w:rPr>
          <w:rFonts w:cs="Arial"/>
        </w:rPr>
        <w:t>Four i</w:t>
      </w:r>
      <w:r w:rsidR="00F270A7" w:rsidRPr="003939A7">
        <w:rPr>
          <w:rFonts w:cs="Arial"/>
        </w:rPr>
        <w:t>ntervals</w:t>
      </w:r>
      <w:r w:rsidR="005D1B28" w:rsidRPr="003939A7">
        <w:rPr>
          <w:rFonts w:cs="Arial"/>
        </w:rPr>
        <w:t xml:space="preserve"> were chosen as</w:t>
      </w:r>
      <w:r w:rsidR="00F270A7" w:rsidRPr="003939A7">
        <w:rPr>
          <w:rFonts w:cs="Arial"/>
        </w:rPr>
        <w:t xml:space="preserve"> </w:t>
      </w:r>
      <w:r w:rsidR="005D1B28" w:rsidRPr="003939A7">
        <w:rPr>
          <w:rFonts w:cs="Arial"/>
        </w:rPr>
        <w:t xml:space="preserve">in order to explore the long term impact that Bell et al, (2018) argues is often missing as much of the </w:t>
      </w:r>
      <w:r w:rsidR="00F270A7" w:rsidRPr="003939A7">
        <w:rPr>
          <w:rFonts w:cs="Arial"/>
        </w:rPr>
        <w:t xml:space="preserve">research to date has only collected </w:t>
      </w:r>
      <w:r w:rsidR="005D1B28" w:rsidRPr="003939A7">
        <w:rPr>
          <w:rFonts w:cs="Arial"/>
        </w:rPr>
        <w:t>data at 2 intervals (baseline and end of programme).</w:t>
      </w:r>
    </w:p>
    <w:p w14:paraId="4269C2FE" w14:textId="77777777" w:rsidR="002F5BB1" w:rsidRPr="003939A7" w:rsidRDefault="002F5BB1" w:rsidP="00444F26">
      <w:pPr>
        <w:spacing w:after="0" w:line="360" w:lineRule="auto"/>
        <w:jc w:val="both"/>
        <w:rPr>
          <w:rFonts w:cs="Arial"/>
          <w:i/>
        </w:rPr>
      </w:pPr>
    </w:p>
    <w:p w14:paraId="1D27D52A" w14:textId="77777777" w:rsidR="00470933" w:rsidRPr="003939A7" w:rsidRDefault="00470933" w:rsidP="006B48A7">
      <w:pPr>
        <w:keepNext/>
        <w:spacing w:after="0" w:line="360" w:lineRule="auto"/>
        <w:jc w:val="both"/>
      </w:pPr>
      <w:r w:rsidRPr="003939A7">
        <w:rPr>
          <w:rFonts w:cs="Arial"/>
          <w:i/>
          <w:noProof/>
          <w:lang w:eastAsia="en-GB"/>
        </w:rPr>
        <w:lastRenderedPageBreak/>
        <w:drawing>
          <wp:inline distT="0" distB="0" distL="0" distR="0" wp14:anchorId="26519787" wp14:editId="3C9F867B">
            <wp:extent cx="5400675" cy="168753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16" cy="1686924"/>
                    </a:xfrm>
                    <a:prstGeom prst="rect">
                      <a:avLst/>
                    </a:prstGeom>
                    <a:noFill/>
                  </pic:spPr>
                </pic:pic>
              </a:graphicData>
            </a:graphic>
          </wp:inline>
        </w:drawing>
      </w:r>
    </w:p>
    <w:p w14:paraId="35D2C02A" w14:textId="11D6A0DE" w:rsidR="00BE0811" w:rsidRPr="003939A7" w:rsidRDefault="00470933" w:rsidP="006B48A7">
      <w:pPr>
        <w:pStyle w:val="Caption"/>
        <w:jc w:val="both"/>
        <w:rPr>
          <w:rFonts w:cs="Arial"/>
          <w:i/>
        </w:rPr>
      </w:pPr>
      <w:r w:rsidRPr="003939A7">
        <w:t xml:space="preserve">Figure </w:t>
      </w:r>
      <w:r w:rsidR="00C63E6F" w:rsidRPr="003939A7">
        <w:t>2</w:t>
      </w:r>
      <w:r w:rsidRPr="003939A7">
        <w:t xml:space="preserve"> Data Collection methods</w:t>
      </w:r>
    </w:p>
    <w:p w14:paraId="29B02116" w14:textId="77777777" w:rsidR="00470933" w:rsidRPr="003939A7" w:rsidRDefault="00470933" w:rsidP="00BE0811">
      <w:pPr>
        <w:spacing w:after="0" w:line="360" w:lineRule="auto"/>
        <w:jc w:val="both"/>
        <w:rPr>
          <w:rFonts w:cs="Arial"/>
          <w:i/>
        </w:rPr>
      </w:pPr>
    </w:p>
    <w:p w14:paraId="7122D6B5" w14:textId="77777777" w:rsidR="00BE0811" w:rsidRPr="003939A7" w:rsidRDefault="00BE0811" w:rsidP="00BE0811">
      <w:pPr>
        <w:spacing w:after="0" w:line="360" w:lineRule="auto"/>
        <w:jc w:val="both"/>
        <w:rPr>
          <w:rFonts w:cs="Arial"/>
          <w:i/>
        </w:rPr>
      </w:pPr>
      <w:r w:rsidRPr="003939A7">
        <w:rPr>
          <w:rFonts w:cs="Arial"/>
          <w:i/>
        </w:rPr>
        <w:t>2.2. Study sample (</w:t>
      </w:r>
      <w:r w:rsidR="00AF201C" w:rsidRPr="003939A7">
        <w:rPr>
          <w:rFonts w:cs="Arial"/>
          <w:i/>
        </w:rPr>
        <w:t>P</w:t>
      </w:r>
      <w:r w:rsidRPr="003939A7">
        <w:rPr>
          <w:rFonts w:cs="Arial"/>
          <w:i/>
        </w:rPr>
        <w:t xml:space="preserve">articipants) </w:t>
      </w:r>
    </w:p>
    <w:p w14:paraId="6093DA95" w14:textId="752B02C0" w:rsidR="00BE0811" w:rsidRPr="003939A7" w:rsidRDefault="00BE0811" w:rsidP="00BE0811">
      <w:pPr>
        <w:spacing w:after="0" w:line="360" w:lineRule="auto"/>
        <w:jc w:val="both"/>
        <w:rPr>
          <w:rFonts w:cs="Arial"/>
        </w:rPr>
      </w:pPr>
      <w:r w:rsidRPr="003939A7">
        <w:rPr>
          <w:rFonts w:cs="Arial"/>
        </w:rPr>
        <w:t>The study sample was chosen from the Richmond Fellowship, a charity specialising in supporting individuals with long-term mental health needs. A convenien</w:t>
      </w:r>
      <w:r w:rsidR="006B48A7" w:rsidRPr="003939A7">
        <w:rPr>
          <w:rFonts w:cs="Arial"/>
        </w:rPr>
        <w:t>t</w:t>
      </w:r>
      <w:r w:rsidRPr="003939A7">
        <w:rPr>
          <w:rFonts w:cs="Arial"/>
        </w:rPr>
        <w:t xml:space="preserve"> sample of </w:t>
      </w:r>
      <w:r w:rsidR="00D01C1B" w:rsidRPr="003939A7">
        <w:rPr>
          <w:rFonts w:cs="Arial"/>
        </w:rPr>
        <w:t xml:space="preserve">25 </w:t>
      </w:r>
      <w:r w:rsidR="006B48A7" w:rsidRPr="003939A7">
        <w:rPr>
          <w:rFonts w:cs="Arial"/>
        </w:rPr>
        <w:t xml:space="preserve">people </w:t>
      </w:r>
      <w:r w:rsidRPr="003939A7">
        <w:rPr>
          <w:rFonts w:cs="Arial"/>
        </w:rPr>
        <w:t xml:space="preserve">registered with the </w:t>
      </w:r>
      <w:r w:rsidR="00AA4EB5" w:rsidRPr="003939A7">
        <w:rPr>
          <w:rFonts w:cs="Arial"/>
        </w:rPr>
        <w:t>charity</w:t>
      </w:r>
      <w:r w:rsidR="006B48A7" w:rsidRPr="003939A7">
        <w:rPr>
          <w:rFonts w:cs="Arial"/>
        </w:rPr>
        <w:t xml:space="preserve">, </w:t>
      </w:r>
      <w:r w:rsidRPr="003939A7">
        <w:rPr>
          <w:rFonts w:cs="Arial"/>
        </w:rPr>
        <w:t xml:space="preserve">were invited to participate in the study. All </w:t>
      </w:r>
      <w:r w:rsidR="006B48A7" w:rsidRPr="003939A7">
        <w:rPr>
          <w:rFonts w:cs="Arial"/>
        </w:rPr>
        <w:t xml:space="preserve">of the </w:t>
      </w:r>
      <w:r w:rsidRPr="003939A7">
        <w:rPr>
          <w:rFonts w:cs="Arial"/>
        </w:rPr>
        <w:t xml:space="preserve">participants self-identified as having ongoing mental health issues and </w:t>
      </w:r>
      <w:r w:rsidR="006B48A7" w:rsidRPr="003939A7">
        <w:rPr>
          <w:rFonts w:cs="Arial"/>
        </w:rPr>
        <w:t xml:space="preserve">lived within the geographical area of </w:t>
      </w:r>
      <w:r w:rsidR="00AA4EB5" w:rsidRPr="003939A7">
        <w:rPr>
          <w:rFonts w:cs="Arial"/>
        </w:rPr>
        <w:t>Wiltshire</w:t>
      </w:r>
      <w:r w:rsidR="006B48A7" w:rsidRPr="003939A7">
        <w:rPr>
          <w:rFonts w:cs="Arial"/>
        </w:rPr>
        <w:t>. Whilst all of the participants were recruited from</w:t>
      </w:r>
      <w:r w:rsidR="00AA4EB5" w:rsidRPr="003939A7">
        <w:rPr>
          <w:rFonts w:cs="Arial"/>
        </w:rPr>
        <w:t xml:space="preserve"> </w:t>
      </w:r>
      <w:r w:rsidR="006B48A7" w:rsidRPr="003939A7">
        <w:rPr>
          <w:rFonts w:cs="Arial"/>
        </w:rPr>
        <w:t>Richm</w:t>
      </w:r>
      <w:r w:rsidR="00AA4EB5" w:rsidRPr="003939A7">
        <w:rPr>
          <w:rFonts w:cs="Arial"/>
        </w:rPr>
        <w:t>o</w:t>
      </w:r>
      <w:r w:rsidR="006B48A7" w:rsidRPr="003939A7">
        <w:rPr>
          <w:rFonts w:cs="Arial"/>
        </w:rPr>
        <w:t>nd Fello</w:t>
      </w:r>
      <w:r w:rsidR="00AA4EB5" w:rsidRPr="003939A7">
        <w:rPr>
          <w:rFonts w:cs="Arial"/>
        </w:rPr>
        <w:t>w</w:t>
      </w:r>
      <w:r w:rsidR="006B48A7" w:rsidRPr="003939A7">
        <w:rPr>
          <w:rFonts w:cs="Arial"/>
        </w:rPr>
        <w:t>ship</w:t>
      </w:r>
      <w:r w:rsidR="00AA4EB5" w:rsidRPr="003939A7">
        <w:rPr>
          <w:rFonts w:cs="Arial"/>
        </w:rPr>
        <w:t>, they had different engagement levels with the charity, for example, a couple of the participants belonged to an activity group whereas others linked with an outreach or support worker</w:t>
      </w:r>
      <w:r w:rsidR="006B48A7" w:rsidRPr="003939A7">
        <w:rPr>
          <w:rFonts w:cs="Arial"/>
        </w:rPr>
        <w:t>. T</w:t>
      </w:r>
      <w:r w:rsidRPr="003939A7">
        <w:rPr>
          <w:rFonts w:cs="Arial"/>
        </w:rPr>
        <w:t>he research did not explore in-depth the types of mental health issues the clients had</w:t>
      </w:r>
      <w:r w:rsidR="0098778F" w:rsidRPr="003939A7">
        <w:rPr>
          <w:rFonts w:cs="Arial"/>
        </w:rPr>
        <w:t>,</w:t>
      </w:r>
      <w:r w:rsidRPr="003939A7">
        <w:rPr>
          <w:rFonts w:cs="Arial"/>
        </w:rPr>
        <w:t xml:space="preserve"> nor their current </w:t>
      </w:r>
      <w:r w:rsidR="00780864" w:rsidRPr="003939A7">
        <w:rPr>
          <w:rFonts w:cs="Arial"/>
        </w:rPr>
        <w:t xml:space="preserve">clinical </w:t>
      </w:r>
      <w:r w:rsidRPr="003939A7">
        <w:rPr>
          <w:rFonts w:cs="Arial"/>
        </w:rPr>
        <w:t>care. The total sample was divided into three groups based on their registration time into the study</w:t>
      </w:r>
      <w:r w:rsidR="00D01C1B" w:rsidRPr="003939A7">
        <w:rPr>
          <w:rFonts w:cs="Arial"/>
        </w:rPr>
        <w:t xml:space="preserve"> (table 1)</w:t>
      </w:r>
      <w:r w:rsidRPr="003939A7">
        <w:rPr>
          <w:rFonts w:cs="Arial"/>
        </w:rPr>
        <w:t xml:space="preserve">. </w:t>
      </w:r>
    </w:p>
    <w:p w14:paraId="233577A6" w14:textId="77777777" w:rsidR="00FD643C" w:rsidRPr="003939A7" w:rsidRDefault="00FD643C" w:rsidP="00876312">
      <w:pPr>
        <w:spacing w:after="0" w:line="360" w:lineRule="auto"/>
        <w:jc w:val="both"/>
        <w:rPr>
          <w:rFonts w:cs="Arial"/>
          <w:i/>
        </w:rPr>
      </w:pPr>
    </w:p>
    <w:p w14:paraId="553BD5E6" w14:textId="77777777" w:rsidR="00FD643C" w:rsidRPr="003939A7" w:rsidRDefault="00FD643C" w:rsidP="00876312">
      <w:pPr>
        <w:spacing w:after="0" w:line="360" w:lineRule="auto"/>
        <w:jc w:val="both"/>
        <w:rPr>
          <w:rFonts w:cs="Arial"/>
          <w:i/>
        </w:rPr>
      </w:pPr>
      <w:r w:rsidRPr="003939A7">
        <w:rPr>
          <w:rFonts w:cs="Arial"/>
          <w:i/>
        </w:rPr>
        <w:t>Quantitative Data Collection</w:t>
      </w:r>
    </w:p>
    <w:p w14:paraId="7389B40A" w14:textId="161E70D2" w:rsidR="00FD643C" w:rsidRPr="003939A7" w:rsidRDefault="0098778F" w:rsidP="00FD643C">
      <w:pPr>
        <w:spacing w:after="0" w:line="360" w:lineRule="auto"/>
        <w:jc w:val="both"/>
        <w:rPr>
          <w:rFonts w:cs="Arial"/>
        </w:rPr>
      </w:pPr>
      <w:r w:rsidRPr="003939A7">
        <w:rPr>
          <w:rFonts w:cs="Arial"/>
        </w:rPr>
        <w:t>A</w:t>
      </w:r>
      <w:r w:rsidR="00FD643C" w:rsidRPr="003939A7">
        <w:rPr>
          <w:rFonts w:cs="Arial"/>
        </w:rPr>
        <w:t xml:space="preserve"> paper</w:t>
      </w:r>
      <w:r w:rsidR="000A6CA6" w:rsidRPr="003939A7">
        <w:rPr>
          <w:rFonts w:cs="Arial"/>
        </w:rPr>
        <w:t>-</w:t>
      </w:r>
      <w:r w:rsidR="00FD643C" w:rsidRPr="003939A7">
        <w:rPr>
          <w:rFonts w:cs="Arial"/>
        </w:rPr>
        <w:t xml:space="preserve">based questionnaire </w:t>
      </w:r>
      <w:r w:rsidRPr="003939A7">
        <w:rPr>
          <w:rFonts w:cs="Arial"/>
        </w:rPr>
        <w:t xml:space="preserve">sought </w:t>
      </w:r>
      <w:r w:rsidR="00FD643C" w:rsidRPr="003939A7">
        <w:rPr>
          <w:rFonts w:cs="Arial"/>
        </w:rPr>
        <w:t>basic demographic information (date of birth, gender</w:t>
      </w:r>
      <w:r w:rsidRPr="003939A7">
        <w:rPr>
          <w:rFonts w:cs="Arial"/>
        </w:rPr>
        <w:t>, etc.</w:t>
      </w:r>
      <w:r w:rsidR="00FD643C" w:rsidRPr="003939A7">
        <w:rPr>
          <w:rFonts w:cs="Arial"/>
        </w:rPr>
        <w:t>), as well as a mixture of open free</w:t>
      </w:r>
      <w:r w:rsidR="007023D5" w:rsidRPr="003939A7">
        <w:rPr>
          <w:rFonts w:cs="Arial"/>
        </w:rPr>
        <w:t>-</w:t>
      </w:r>
      <w:r w:rsidR="00FD643C" w:rsidRPr="003939A7">
        <w:rPr>
          <w:rFonts w:cs="Arial"/>
        </w:rPr>
        <w:t>text and scale questions</w:t>
      </w:r>
      <w:r w:rsidR="0073246C" w:rsidRPr="003939A7">
        <w:rPr>
          <w:rFonts w:cs="Arial"/>
        </w:rPr>
        <w:t xml:space="preserve"> </w:t>
      </w:r>
      <w:r w:rsidR="00FD643C" w:rsidRPr="003939A7">
        <w:rPr>
          <w:rFonts w:cs="Arial"/>
        </w:rPr>
        <w:t xml:space="preserve">related to the participants interests in history and heritage. </w:t>
      </w:r>
      <w:r w:rsidR="007023D5" w:rsidRPr="003939A7">
        <w:rPr>
          <w:rFonts w:cs="Arial"/>
        </w:rPr>
        <w:t>A</w:t>
      </w:r>
      <w:r w:rsidR="00FD643C" w:rsidRPr="003939A7">
        <w:rPr>
          <w:rFonts w:cs="Arial"/>
        </w:rPr>
        <w:t xml:space="preserve"> shortened version of the Warwick-Edinburgh Mental Well-being Scale (SWEMWBS) was </w:t>
      </w:r>
      <w:r w:rsidR="0073246C" w:rsidRPr="003939A7">
        <w:rPr>
          <w:rFonts w:cs="Arial"/>
        </w:rPr>
        <w:t xml:space="preserve">also incorporated into the questionnaire </w:t>
      </w:r>
      <w:r w:rsidR="00FD643C" w:rsidRPr="003939A7">
        <w:rPr>
          <w:rFonts w:cs="Arial"/>
        </w:rPr>
        <w:t xml:space="preserve">to measure the </w:t>
      </w:r>
      <w:r w:rsidR="000A6CA6" w:rsidRPr="003939A7">
        <w:rPr>
          <w:rFonts w:cs="Arial"/>
        </w:rPr>
        <w:t xml:space="preserve">participants’ </w:t>
      </w:r>
      <w:r w:rsidR="00FD643C" w:rsidRPr="003939A7">
        <w:rPr>
          <w:rFonts w:cs="Arial"/>
        </w:rPr>
        <w:t>mental well-being (Stewart et al.</w:t>
      </w:r>
      <w:r w:rsidR="009E7767" w:rsidRPr="003939A7">
        <w:rPr>
          <w:rFonts w:cs="Arial"/>
        </w:rPr>
        <w:t>,</w:t>
      </w:r>
      <w:r w:rsidR="00FD643C" w:rsidRPr="003939A7">
        <w:rPr>
          <w:rFonts w:cs="Arial"/>
        </w:rPr>
        <w:t xml:space="preserve"> 2009). The original WEMWBS comprises 14 positively worded item scales with 5-point Likert response categories, ranging from “none of the time” to “all of the time” (Tennant et al.</w:t>
      </w:r>
      <w:r w:rsidR="009E7767" w:rsidRPr="003939A7">
        <w:rPr>
          <w:rFonts w:cs="Arial"/>
        </w:rPr>
        <w:t>,</w:t>
      </w:r>
      <w:r w:rsidR="00FD643C" w:rsidRPr="003939A7">
        <w:rPr>
          <w:rFonts w:cs="Arial"/>
        </w:rPr>
        <w:t xml:space="preserve"> 2007). The short version of WEMWBS has been developed using a rigorous test of internal consistency and includes only 7 items, mostly representing aspects of psychological and eud</w:t>
      </w:r>
      <w:r w:rsidR="00DD0660" w:rsidRPr="003939A7">
        <w:rPr>
          <w:rFonts w:cs="Arial"/>
        </w:rPr>
        <w:t>aimonic</w:t>
      </w:r>
      <w:r w:rsidR="00FD643C" w:rsidRPr="003939A7">
        <w:rPr>
          <w:rFonts w:cs="Arial"/>
        </w:rPr>
        <w:t xml:space="preserve"> well-being. It has been shown that items included in the SWEMWBS are highly correlated with the full 14 scale (Spearman α=0.954</w:t>
      </w:r>
      <w:r w:rsidR="008E0A3D" w:rsidRPr="003939A7">
        <w:rPr>
          <w:rFonts w:cs="Arial"/>
        </w:rPr>
        <w:t>, α&gt;</w:t>
      </w:r>
      <w:r w:rsidR="00DD67D8" w:rsidRPr="003939A7">
        <w:rPr>
          <w:rFonts w:cs="Arial"/>
        </w:rPr>
        <w:t>0.</w:t>
      </w:r>
      <w:r w:rsidR="008E0A3D" w:rsidRPr="003939A7">
        <w:rPr>
          <w:rFonts w:cs="Arial"/>
        </w:rPr>
        <w:t>8</w:t>
      </w:r>
      <w:r w:rsidR="00FD643C" w:rsidRPr="003939A7">
        <w:rPr>
          <w:rFonts w:cs="Arial"/>
        </w:rPr>
        <w:t xml:space="preserve">) and provides a valid raw score by summing the score for each of the seven items. The raw score </w:t>
      </w:r>
      <w:r w:rsidR="00C84E46" w:rsidRPr="003939A7">
        <w:rPr>
          <w:rFonts w:cs="Arial"/>
        </w:rPr>
        <w:t>is then</w:t>
      </w:r>
      <w:r w:rsidR="00FD643C" w:rsidRPr="003939A7">
        <w:rPr>
          <w:rFonts w:cs="Arial"/>
        </w:rPr>
        <w:t xml:space="preserve"> converted to a metric score using a linear transformation (conversion table) in order to provide valid parametric analyses (Stewart et al.</w:t>
      </w:r>
      <w:r w:rsidR="009E7767" w:rsidRPr="003939A7">
        <w:rPr>
          <w:rFonts w:cs="Arial"/>
        </w:rPr>
        <w:t>,</w:t>
      </w:r>
      <w:r w:rsidR="00FD643C" w:rsidRPr="003939A7">
        <w:rPr>
          <w:rFonts w:cs="Arial"/>
        </w:rPr>
        <w:t xml:space="preserve"> 2009). The </w:t>
      </w:r>
      <w:r w:rsidR="000A6CA6" w:rsidRPr="003939A7">
        <w:rPr>
          <w:rFonts w:cs="Arial"/>
        </w:rPr>
        <w:t xml:space="preserve">scores </w:t>
      </w:r>
      <w:r w:rsidR="00FD643C" w:rsidRPr="003939A7">
        <w:rPr>
          <w:rFonts w:cs="Arial"/>
        </w:rPr>
        <w:t>range from 7 to 35</w:t>
      </w:r>
      <w:r w:rsidR="007023D5" w:rsidRPr="003939A7">
        <w:rPr>
          <w:rFonts w:cs="Arial"/>
        </w:rPr>
        <w:t>,</w:t>
      </w:r>
      <w:r w:rsidR="00FD643C" w:rsidRPr="003939A7">
        <w:rPr>
          <w:rFonts w:cs="Arial"/>
        </w:rPr>
        <w:t xml:space="preserve"> with higher scores reflecting greater overall mental well-being. </w:t>
      </w:r>
      <w:r w:rsidR="00B67936" w:rsidRPr="003939A7">
        <w:rPr>
          <w:rFonts w:cs="Arial"/>
        </w:rPr>
        <w:lastRenderedPageBreak/>
        <w:t>Participants completed the SWEMWBS prior to their engagement in the Human Henge programme</w:t>
      </w:r>
      <w:r w:rsidR="000A6CA6" w:rsidRPr="003939A7">
        <w:rPr>
          <w:rFonts w:cs="Arial"/>
        </w:rPr>
        <w:t xml:space="preserve"> and </w:t>
      </w:r>
      <w:r w:rsidR="00B67936" w:rsidRPr="003939A7">
        <w:rPr>
          <w:rFonts w:cs="Arial"/>
        </w:rPr>
        <w:t>thereafter the questionnaire was completed at three other occasions: in the middle, at the end of the 10-week</w:t>
      </w:r>
      <w:r w:rsidR="00780864" w:rsidRPr="003939A7">
        <w:rPr>
          <w:rFonts w:cs="Arial"/>
        </w:rPr>
        <w:t xml:space="preserve"> intervention</w:t>
      </w:r>
      <w:r w:rsidR="009F6E73" w:rsidRPr="003939A7">
        <w:rPr>
          <w:rFonts w:cs="Arial"/>
        </w:rPr>
        <w:t>,</w:t>
      </w:r>
      <w:r w:rsidR="0073246C" w:rsidRPr="003939A7">
        <w:rPr>
          <w:rFonts w:cs="Arial"/>
        </w:rPr>
        <w:t xml:space="preserve"> </w:t>
      </w:r>
      <w:r w:rsidR="00B67936" w:rsidRPr="003939A7">
        <w:rPr>
          <w:rFonts w:cs="Arial"/>
        </w:rPr>
        <w:t xml:space="preserve">and one-year post </w:t>
      </w:r>
      <w:r w:rsidR="00780864" w:rsidRPr="003939A7">
        <w:rPr>
          <w:rFonts w:cs="Arial"/>
        </w:rPr>
        <w:t>intervention</w:t>
      </w:r>
      <w:r w:rsidR="00B67936" w:rsidRPr="003939A7">
        <w:rPr>
          <w:rFonts w:cs="Arial"/>
        </w:rPr>
        <w:t>.</w:t>
      </w:r>
    </w:p>
    <w:p w14:paraId="04CCDB86" w14:textId="77777777" w:rsidR="00FD643C" w:rsidRPr="003939A7" w:rsidRDefault="00FD643C" w:rsidP="00876312">
      <w:pPr>
        <w:spacing w:after="0" w:line="360" w:lineRule="auto"/>
        <w:jc w:val="both"/>
        <w:rPr>
          <w:rFonts w:cs="Arial"/>
          <w:i/>
        </w:rPr>
      </w:pPr>
    </w:p>
    <w:p w14:paraId="420E48C5" w14:textId="77777777" w:rsidR="00FB788E" w:rsidRPr="003939A7" w:rsidRDefault="00FB788E" w:rsidP="00876312">
      <w:pPr>
        <w:spacing w:after="0" w:line="360" w:lineRule="auto"/>
        <w:jc w:val="both"/>
        <w:rPr>
          <w:rFonts w:cs="Arial"/>
          <w:i/>
        </w:rPr>
      </w:pPr>
      <w:r w:rsidRPr="003939A7">
        <w:rPr>
          <w:rFonts w:cs="Arial"/>
          <w:i/>
        </w:rPr>
        <w:t xml:space="preserve">Qualitative </w:t>
      </w:r>
      <w:r w:rsidR="00B67936" w:rsidRPr="003939A7">
        <w:rPr>
          <w:rFonts w:cs="Arial"/>
          <w:i/>
        </w:rPr>
        <w:t>Data collection</w:t>
      </w:r>
    </w:p>
    <w:p w14:paraId="390A8409" w14:textId="7F183D50" w:rsidR="001F7AA0" w:rsidRPr="003939A7" w:rsidRDefault="00B67936" w:rsidP="00876312">
      <w:pPr>
        <w:spacing w:after="0" w:line="360" w:lineRule="auto"/>
        <w:jc w:val="both"/>
      </w:pPr>
      <w:r w:rsidRPr="003939A7">
        <w:rPr>
          <w:rFonts w:cs="Arial"/>
        </w:rPr>
        <w:t xml:space="preserve">Qualitative data collection consisted of a variety of methods including a creative activity, personal reflections as well as focus groups. Focus groups occurred </w:t>
      </w:r>
      <w:r w:rsidR="00890025" w:rsidRPr="003939A7">
        <w:rPr>
          <w:rFonts w:cs="Arial"/>
        </w:rPr>
        <w:t xml:space="preserve">twice, </w:t>
      </w:r>
      <w:r w:rsidRPr="003939A7">
        <w:rPr>
          <w:rFonts w:cs="Arial"/>
        </w:rPr>
        <w:t>at the end of the ten week</w:t>
      </w:r>
      <w:r w:rsidR="0073246C" w:rsidRPr="003939A7">
        <w:rPr>
          <w:rFonts w:cs="Arial"/>
        </w:rPr>
        <w:t>s and one-year post engagement</w:t>
      </w:r>
      <w:r w:rsidRPr="003939A7">
        <w:rPr>
          <w:rFonts w:cs="Arial"/>
        </w:rPr>
        <w:t>. Focus groups were chose</w:t>
      </w:r>
      <w:r w:rsidR="00890025" w:rsidRPr="003939A7">
        <w:rPr>
          <w:rFonts w:cs="Arial"/>
        </w:rPr>
        <w:t>n</w:t>
      </w:r>
      <w:r w:rsidR="000A6CA6" w:rsidRPr="003939A7">
        <w:rPr>
          <w:rFonts w:cs="Arial"/>
        </w:rPr>
        <w:t xml:space="preserve"> </w:t>
      </w:r>
      <w:r w:rsidRPr="003939A7">
        <w:rPr>
          <w:rFonts w:cs="Arial"/>
        </w:rPr>
        <w:t xml:space="preserve">as they are </w:t>
      </w:r>
      <w:r w:rsidR="00890025" w:rsidRPr="003939A7">
        <w:rPr>
          <w:rFonts w:cs="Arial"/>
        </w:rPr>
        <w:t>particularly</w:t>
      </w:r>
      <w:r w:rsidRPr="003939A7">
        <w:rPr>
          <w:rFonts w:cs="Arial"/>
        </w:rPr>
        <w:t xml:space="preserve"> </w:t>
      </w:r>
      <w:r w:rsidR="00890025" w:rsidRPr="003939A7">
        <w:rPr>
          <w:rFonts w:cs="Arial"/>
        </w:rPr>
        <w:t>useful</w:t>
      </w:r>
      <w:r w:rsidRPr="003939A7">
        <w:rPr>
          <w:rFonts w:cs="Arial"/>
        </w:rPr>
        <w:t xml:space="preserve"> when discussing sensitive topics</w:t>
      </w:r>
      <w:r w:rsidR="00890025" w:rsidRPr="003939A7">
        <w:rPr>
          <w:rFonts w:cs="Arial"/>
        </w:rPr>
        <w:t xml:space="preserve"> (</w:t>
      </w:r>
      <w:r w:rsidR="00343F39" w:rsidRPr="003939A7">
        <w:rPr>
          <w:rFonts w:cs="Arial"/>
        </w:rPr>
        <w:t>Kitzinger</w:t>
      </w:r>
      <w:r w:rsidR="009E7767" w:rsidRPr="003939A7">
        <w:rPr>
          <w:rFonts w:cs="Arial"/>
        </w:rPr>
        <w:t>,</w:t>
      </w:r>
      <w:r w:rsidR="00343F39" w:rsidRPr="003939A7">
        <w:rPr>
          <w:rFonts w:cs="Arial"/>
        </w:rPr>
        <w:t xml:space="preserve"> 2000</w:t>
      </w:r>
      <w:r w:rsidR="00890025" w:rsidRPr="003939A7">
        <w:rPr>
          <w:rFonts w:cs="Arial"/>
        </w:rPr>
        <w:t>)</w:t>
      </w:r>
      <w:r w:rsidR="00343F39" w:rsidRPr="003939A7">
        <w:rPr>
          <w:rFonts w:cs="Arial"/>
        </w:rPr>
        <w:t xml:space="preserve"> </w:t>
      </w:r>
      <w:r w:rsidR="000D112D" w:rsidRPr="003939A7">
        <w:rPr>
          <w:rFonts w:cs="Arial"/>
        </w:rPr>
        <w:t>where</w:t>
      </w:r>
      <w:r w:rsidR="00343F39" w:rsidRPr="003939A7">
        <w:rPr>
          <w:rFonts w:cs="Arial"/>
        </w:rPr>
        <w:t xml:space="preserve"> participants can receive support and reassurance from other participants. I</w:t>
      </w:r>
      <w:r w:rsidR="00890025" w:rsidRPr="003939A7">
        <w:rPr>
          <w:rFonts w:cs="Arial"/>
        </w:rPr>
        <w:t>n addition</w:t>
      </w:r>
      <w:r w:rsidR="00343F39" w:rsidRPr="003939A7">
        <w:rPr>
          <w:rFonts w:cs="Arial"/>
        </w:rPr>
        <w:t>,</w:t>
      </w:r>
      <w:r w:rsidR="00890025" w:rsidRPr="003939A7">
        <w:rPr>
          <w:rFonts w:cs="Arial"/>
        </w:rPr>
        <w:t xml:space="preserve"> </w:t>
      </w:r>
      <w:r w:rsidR="000A6CA6" w:rsidRPr="003939A7">
        <w:rPr>
          <w:rFonts w:cs="Arial"/>
        </w:rPr>
        <w:t xml:space="preserve">focus groups </w:t>
      </w:r>
      <w:r w:rsidR="00890025" w:rsidRPr="003939A7">
        <w:rPr>
          <w:rFonts w:cs="Arial"/>
        </w:rPr>
        <w:t>enable</w:t>
      </w:r>
      <w:r w:rsidR="00616E00" w:rsidRPr="003939A7">
        <w:rPr>
          <w:rFonts w:cs="Arial"/>
        </w:rPr>
        <w:t xml:space="preserve"> researchers </w:t>
      </w:r>
      <w:r w:rsidR="00890025" w:rsidRPr="003939A7">
        <w:rPr>
          <w:rFonts w:cs="Arial"/>
        </w:rPr>
        <w:t>to go beyond the data obtained in the survey</w:t>
      </w:r>
      <w:r w:rsidR="00343F39" w:rsidRPr="003939A7">
        <w:rPr>
          <w:rFonts w:cs="Arial"/>
        </w:rPr>
        <w:t xml:space="preserve"> </w:t>
      </w:r>
      <w:r w:rsidR="009F6E73" w:rsidRPr="003939A7">
        <w:rPr>
          <w:rFonts w:cs="Arial"/>
        </w:rPr>
        <w:t xml:space="preserve">thereby </w:t>
      </w:r>
      <w:r w:rsidR="00343F39" w:rsidRPr="003939A7">
        <w:rPr>
          <w:rFonts w:cs="Arial"/>
        </w:rPr>
        <w:t xml:space="preserve">providing a </w:t>
      </w:r>
      <w:r w:rsidR="009F6E73" w:rsidRPr="003939A7">
        <w:rPr>
          <w:rFonts w:cs="Arial"/>
        </w:rPr>
        <w:t xml:space="preserve">greater </w:t>
      </w:r>
      <w:r w:rsidR="00890025" w:rsidRPr="003939A7">
        <w:rPr>
          <w:rFonts w:cs="Arial"/>
        </w:rPr>
        <w:t xml:space="preserve">depth of understanding </w:t>
      </w:r>
      <w:r w:rsidR="00343F39" w:rsidRPr="003939A7">
        <w:rPr>
          <w:rFonts w:cs="Arial"/>
        </w:rPr>
        <w:t xml:space="preserve">(Leung </w:t>
      </w:r>
      <w:r w:rsidR="009E7767" w:rsidRPr="003939A7">
        <w:rPr>
          <w:rFonts w:cs="Arial"/>
        </w:rPr>
        <w:t>&amp;</w:t>
      </w:r>
      <w:r w:rsidR="00343F39" w:rsidRPr="003939A7">
        <w:rPr>
          <w:rFonts w:cs="Arial"/>
        </w:rPr>
        <w:t xml:space="preserve"> Savithiri</w:t>
      </w:r>
      <w:r w:rsidR="009E7767" w:rsidRPr="003939A7">
        <w:rPr>
          <w:rFonts w:cs="Arial"/>
        </w:rPr>
        <w:t>,</w:t>
      </w:r>
      <w:r w:rsidR="00343F39" w:rsidRPr="003939A7">
        <w:rPr>
          <w:rFonts w:cs="Arial"/>
        </w:rPr>
        <w:t xml:space="preserve"> 2009) regarding participant’s</w:t>
      </w:r>
      <w:r w:rsidR="00890025" w:rsidRPr="003939A7">
        <w:rPr>
          <w:rFonts w:cs="Arial"/>
        </w:rPr>
        <w:t xml:space="preserve"> mental health well-being.</w:t>
      </w:r>
      <w:r w:rsidR="00343F39" w:rsidRPr="003939A7">
        <w:rPr>
          <w:rFonts w:cs="Arial"/>
        </w:rPr>
        <w:t xml:space="preserve"> </w:t>
      </w:r>
      <w:r w:rsidR="001F7AA0" w:rsidRPr="003939A7">
        <w:rPr>
          <w:rFonts w:cs="Arial"/>
        </w:rPr>
        <w:t>Within the focus groups at the end of the ten week</w:t>
      </w:r>
      <w:r w:rsidR="00616E00" w:rsidRPr="003939A7">
        <w:rPr>
          <w:rFonts w:cs="Arial"/>
        </w:rPr>
        <w:t>s</w:t>
      </w:r>
      <w:r w:rsidR="00995A34" w:rsidRPr="003939A7">
        <w:rPr>
          <w:rFonts w:cs="Arial"/>
        </w:rPr>
        <w:t>,</w:t>
      </w:r>
      <w:r w:rsidR="001F7AA0" w:rsidRPr="003939A7">
        <w:rPr>
          <w:rFonts w:cs="Arial"/>
        </w:rPr>
        <w:t xml:space="preserve"> participants were asked “I’m interested in hearing about your experiences and your thoughts about your participation in the Human Henge, can you please tell me about it?”</w:t>
      </w:r>
      <w:r w:rsidR="000A6CA6" w:rsidRPr="003939A7">
        <w:rPr>
          <w:rFonts w:cs="Arial"/>
        </w:rPr>
        <w:t>. One</w:t>
      </w:r>
      <w:r w:rsidR="00616E00" w:rsidRPr="003939A7">
        <w:rPr>
          <w:rFonts w:cs="Arial"/>
        </w:rPr>
        <w:t>-</w:t>
      </w:r>
      <w:r w:rsidR="001F7AA0" w:rsidRPr="003939A7">
        <w:rPr>
          <w:rFonts w:cs="Arial"/>
        </w:rPr>
        <w:t xml:space="preserve">year post </w:t>
      </w:r>
      <w:r w:rsidR="00780864" w:rsidRPr="003939A7">
        <w:rPr>
          <w:rFonts w:cs="Arial"/>
        </w:rPr>
        <w:t xml:space="preserve">intervention </w:t>
      </w:r>
      <w:r w:rsidR="001F7AA0" w:rsidRPr="003939A7">
        <w:rPr>
          <w:rFonts w:cs="Arial"/>
        </w:rPr>
        <w:t>participants were asked “</w:t>
      </w:r>
      <w:r w:rsidR="009F6E73" w:rsidRPr="003939A7">
        <w:rPr>
          <w:rFonts w:cs="Arial"/>
        </w:rPr>
        <w:t>I</w:t>
      </w:r>
      <w:r w:rsidR="001F7AA0" w:rsidRPr="003939A7">
        <w:rPr>
          <w:rFonts w:cs="Arial"/>
        </w:rPr>
        <w:t xml:space="preserve">t is now one year since you were involved in the Human Henge programme and I’m interested in hearing about your experiences and your thoughts about </w:t>
      </w:r>
      <w:r w:rsidR="003730EE" w:rsidRPr="003939A7">
        <w:rPr>
          <w:rFonts w:cs="Arial"/>
        </w:rPr>
        <w:t>Human Henge one year on</w:t>
      </w:r>
      <w:r w:rsidR="001F7AA0" w:rsidRPr="003939A7">
        <w:rPr>
          <w:rFonts w:cs="Arial"/>
        </w:rPr>
        <w:t>”.</w:t>
      </w:r>
      <w:r w:rsidR="003730EE" w:rsidRPr="003939A7">
        <w:t xml:space="preserve"> </w:t>
      </w:r>
    </w:p>
    <w:p w14:paraId="63781845" w14:textId="77777777" w:rsidR="003730EE" w:rsidRPr="003939A7" w:rsidRDefault="003730EE" w:rsidP="00876312">
      <w:pPr>
        <w:spacing w:after="0" w:line="360" w:lineRule="auto"/>
        <w:jc w:val="both"/>
        <w:rPr>
          <w:rFonts w:cs="Arial"/>
        </w:rPr>
      </w:pPr>
    </w:p>
    <w:p w14:paraId="11480874" w14:textId="77777777" w:rsidR="00890025" w:rsidRPr="003939A7" w:rsidRDefault="00343F39" w:rsidP="00876312">
      <w:pPr>
        <w:spacing w:after="0" w:line="360" w:lineRule="auto"/>
        <w:jc w:val="both"/>
        <w:rPr>
          <w:rFonts w:cs="Arial"/>
        </w:rPr>
      </w:pPr>
      <w:r w:rsidRPr="003939A7">
        <w:rPr>
          <w:rFonts w:cs="Arial"/>
        </w:rPr>
        <w:t>Whilst it is recogni</w:t>
      </w:r>
      <w:r w:rsidR="00C84E46" w:rsidRPr="003939A7">
        <w:rPr>
          <w:rFonts w:cs="Arial"/>
        </w:rPr>
        <w:t>z</w:t>
      </w:r>
      <w:r w:rsidRPr="003939A7">
        <w:rPr>
          <w:rFonts w:cs="Arial"/>
        </w:rPr>
        <w:t>ed that focus groups are useful in eliciting sensitive information, these methods were supplemented with personal reflection</w:t>
      </w:r>
      <w:r w:rsidR="00867F78" w:rsidRPr="003939A7">
        <w:rPr>
          <w:rFonts w:cs="Arial"/>
        </w:rPr>
        <w:t>s</w:t>
      </w:r>
      <w:r w:rsidRPr="003939A7">
        <w:rPr>
          <w:rFonts w:cs="Arial"/>
        </w:rPr>
        <w:t>, enabling participants to share thoughts privately to the researcher</w:t>
      </w:r>
      <w:r w:rsidR="000A6CA6" w:rsidRPr="003939A7">
        <w:rPr>
          <w:rFonts w:cs="Arial"/>
        </w:rPr>
        <w:t>,</w:t>
      </w:r>
      <w:r w:rsidRPr="003939A7">
        <w:rPr>
          <w:rFonts w:cs="Arial"/>
        </w:rPr>
        <w:t xml:space="preserve"> </w:t>
      </w:r>
      <w:r w:rsidR="00867F78" w:rsidRPr="003939A7">
        <w:rPr>
          <w:rFonts w:cs="Arial"/>
        </w:rPr>
        <w:t xml:space="preserve">and </w:t>
      </w:r>
      <w:r w:rsidRPr="003939A7">
        <w:rPr>
          <w:rFonts w:cs="Arial"/>
        </w:rPr>
        <w:t>a creative activity</w:t>
      </w:r>
      <w:r w:rsidR="001F7AA0" w:rsidRPr="003939A7">
        <w:rPr>
          <w:rFonts w:cs="Arial"/>
        </w:rPr>
        <w:t>;</w:t>
      </w:r>
      <w:r w:rsidRPr="003939A7">
        <w:rPr>
          <w:rFonts w:cs="Arial"/>
        </w:rPr>
        <w:t xml:space="preserve"> </w:t>
      </w:r>
      <w:r w:rsidR="001F7AA0" w:rsidRPr="003939A7">
        <w:rPr>
          <w:rFonts w:cs="Arial"/>
        </w:rPr>
        <w:t xml:space="preserve">only </w:t>
      </w:r>
      <w:r w:rsidR="00867F78" w:rsidRPr="003939A7">
        <w:rPr>
          <w:rFonts w:cs="Arial"/>
        </w:rPr>
        <w:t xml:space="preserve">the </w:t>
      </w:r>
      <w:r w:rsidR="001F7AA0" w:rsidRPr="003939A7">
        <w:rPr>
          <w:rFonts w:cs="Arial"/>
        </w:rPr>
        <w:t xml:space="preserve">focus group and personal reflection data </w:t>
      </w:r>
      <w:r w:rsidR="00867F78" w:rsidRPr="003939A7">
        <w:rPr>
          <w:rFonts w:cs="Arial"/>
        </w:rPr>
        <w:t>are</w:t>
      </w:r>
      <w:r w:rsidRPr="003939A7">
        <w:rPr>
          <w:rFonts w:cs="Arial"/>
        </w:rPr>
        <w:t xml:space="preserve"> presented in this paper.</w:t>
      </w:r>
    </w:p>
    <w:p w14:paraId="13790783" w14:textId="77777777" w:rsidR="00890025" w:rsidRPr="003939A7" w:rsidRDefault="00890025" w:rsidP="00876312">
      <w:pPr>
        <w:spacing w:after="0" w:line="360" w:lineRule="auto"/>
        <w:jc w:val="both"/>
        <w:rPr>
          <w:rFonts w:cs="Arial"/>
        </w:rPr>
      </w:pPr>
    </w:p>
    <w:p w14:paraId="2521D700" w14:textId="77777777" w:rsidR="004361B7" w:rsidRPr="003939A7" w:rsidRDefault="004361B7" w:rsidP="00876312">
      <w:pPr>
        <w:spacing w:after="0" w:line="360" w:lineRule="auto"/>
        <w:jc w:val="both"/>
        <w:rPr>
          <w:rFonts w:cs="Arial"/>
          <w:i/>
        </w:rPr>
      </w:pPr>
      <w:r w:rsidRPr="003939A7">
        <w:rPr>
          <w:rFonts w:cs="Arial"/>
          <w:i/>
        </w:rPr>
        <w:t>2.4. Ethical considerations</w:t>
      </w:r>
    </w:p>
    <w:p w14:paraId="1E41ED80" w14:textId="1CF37574" w:rsidR="004361B7" w:rsidRPr="003939A7" w:rsidRDefault="00343F39" w:rsidP="00876312">
      <w:pPr>
        <w:spacing w:after="0" w:line="360" w:lineRule="auto"/>
        <w:jc w:val="both"/>
        <w:rPr>
          <w:rFonts w:cs="Arial"/>
        </w:rPr>
      </w:pPr>
      <w:r w:rsidRPr="003939A7">
        <w:rPr>
          <w:rFonts w:cs="Arial"/>
        </w:rPr>
        <w:t>E</w:t>
      </w:r>
      <w:r w:rsidR="004361B7" w:rsidRPr="003939A7">
        <w:rPr>
          <w:rFonts w:cs="Arial"/>
        </w:rPr>
        <w:t xml:space="preserve">thical approval was obtained from the Bournemouth </w:t>
      </w:r>
      <w:r w:rsidR="00BB1154" w:rsidRPr="003939A7">
        <w:rPr>
          <w:rFonts w:cs="Arial"/>
        </w:rPr>
        <w:t xml:space="preserve">University </w:t>
      </w:r>
      <w:r w:rsidR="004361B7" w:rsidRPr="003939A7">
        <w:rPr>
          <w:rFonts w:cs="Arial"/>
        </w:rPr>
        <w:t xml:space="preserve">Research Ethics </w:t>
      </w:r>
      <w:r w:rsidR="00BE0811" w:rsidRPr="003939A7">
        <w:rPr>
          <w:rFonts w:cs="Arial"/>
        </w:rPr>
        <w:t>C</w:t>
      </w:r>
      <w:r w:rsidR="00B258AA" w:rsidRPr="003939A7">
        <w:rPr>
          <w:rFonts w:cs="Arial"/>
        </w:rPr>
        <w:t>ommittee</w:t>
      </w:r>
      <w:r w:rsidR="004361B7" w:rsidRPr="003939A7">
        <w:rPr>
          <w:rFonts w:cs="Arial"/>
        </w:rPr>
        <w:t xml:space="preserve">. </w:t>
      </w:r>
      <w:r w:rsidR="00423F34" w:rsidRPr="003939A7">
        <w:rPr>
          <w:rFonts w:cs="Arial"/>
        </w:rPr>
        <w:t xml:space="preserve">All participants demonstrated capacity at the point of information-giving and recruitment to the study and throughout the entire length of data collection. This included understanding that their choice to participate would not affect their ability to attend and engage in the Human Henge programme. </w:t>
      </w:r>
      <w:r w:rsidR="004361B7" w:rsidRPr="003939A7">
        <w:rPr>
          <w:rFonts w:cs="Arial"/>
        </w:rPr>
        <w:t xml:space="preserve">All participants were </w:t>
      </w:r>
      <w:r w:rsidR="00423F34" w:rsidRPr="003939A7">
        <w:rPr>
          <w:rFonts w:cs="Arial"/>
        </w:rPr>
        <w:t xml:space="preserve">provided with </w:t>
      </w:r>
      <w:r w:rsidR="004361B7" w:rsidRPr="003939A7">
        <w:rPr>
          <w:rFonts w:cs="Arial"/>
        </w:rPr>
        <w:t xml:space="preserve">information about the study, which </w:t>
      </w:r>
      <w:r w:rsidR="00423F34" w:rsidRPr="003939A7">
        <w:rPr>
          <w:rFonts w:cs="Arial"/>
        </w:rPr>
        <w:t xml:space="preserve">asserted that </w:t>
      </w:r>
      <w:r w:rsidR="00C6656D" w:rsidRPr="003939A7">
        <w:rPr>
          <w:rFonts w:cs="Arial"/>
        </w:rPr>
        <w:t>participation was</w:t>
      </w:r>
      <w:r w:rsidR="004361B7" w:rsidRPr="003939A7">
        <w:rPr>
          <w:rFonts w:cs="Arial"/>
        </w:rPr>
        <w:t xml:space="preserve"> voluntary </w:t>
      </w:r>
      <w:r w:rsidR="00423F34" w:rsidRPr="003939A7">
        <w:rPr>
          <w:rFonts w:cs="Arial"/>
        </w:rPr>
        <w:t>and confidentiality would be maintained. Explicit informed consent was provided by each participant.</w:t>
      </w:r>
    </w:p>
    <w:p w14:paraId="6240FA73" w14:textId="77777777" w:rsidR="004361B7" w:rsidRPr="003939A7" w:rsidRDefault="004361B7" w:rsidP="00876312">
      <w:pPr>
        <w:spacing w:after="0" w:line="360" w:lineRule="auto"/>
        <w:jc w:val="both"/>
        <w:rPr>
          <w:rFonts w:cs="Arial"/>
        </w:rPr>
      </w:pPr>
    </w:p>
    <w:p w14:paraId="71D4FB65" w14:textId="77777777" w:rsidR="00F36063" w:rsidRPr="003939A7" w:rsidRDefault="00F36063" w:rsidP="00876312">
      <w:pPr>
        <w:spacing w:after="0" w:line="360" w:lineRule="auto"/>
        <w:jc w:val="both"/>
        <w:rPr>
          <w:rFonts w:cs="Arial"/>
          <w:i/>
        </w:rPr>
      </w:pPr>
      <w:r w:rsidRPr="003939A7">
        <w:rPr>
          <w:rFonts w:cs="Arial"/>
          <w:i/>
        </w:rPr>
        <w:t>2.5 Data Analysis</w:t>
      </w:r>
    </w:p>
    <w:p w14:paraId="12BD47EE" w14:textId="77777777" w:rsidR="00B67936" w:rsidRPr="003939A7" w:rsidRDefault="00F36063" w:rsidP="00876312">
      <w:pPr>
        <w:spacing w:after="0" w:line="360" w:lineRule="auto"/>
        <w:jc w:val="both"/>
        <w:rPr>
          <w:rFonts w:cs="Arial"/>
        </w:rPr>
      </w:pPr>
      <w:r w:rsidRPr="003939A7">
        <w:rPr>
          <w:rFonts w:cs="Arial"/>
        </w:rPr>
        <w:lastRenderedPageBreak/>
        <w:t>Quantitative d</w:t>
      </w:r>
      <w:r w:rsidR="00DA789E" w:rsidRPr="003939A7">
        <w:rPr>
          <w:rFonts w:cs="Arial"/>
        </w:rPr>
        <w:t xml:space="preserve">ata were analysed using </w:t>
      </w:r>
      <w:r w:rsidR="00FB05D8" w:rsidRPr="003939A7">
        <w:rPr>
          <w:rFonts w:cs="Arial"/>
        </w:rPr>
        <w:t>Statistical Package for Social Sciences (</w:t>
      </w:r>
      <w:r w:rsidR="00DA789E" w:rsidRPr="003939A7">
        <w:rPr>
          <w:rFonts w:cs="Arial"/>
        </w:rPr>
        <w:t>SPSS</w:t>
      </w:r>
      <w:r w:rsidR="00FB05D8" w:rsidRPr="003939A7">
        <w:rPr>
          <w:rFonts w:cs="Arial"/>
        </w:rPr>
        <w:t xml:space="preserve">) software (IBM, version </w:t>
      </w:r>
      <w:r w:rsidR="006D2C5C" w:rsidRPr="003939A7">
        <w:rPr>
          <w:rFonts w:cs="Arial"/>
        </w:rPr>
        <w:t>24</w:t>
      </w:r>
      <w:r w:rsidR="00FB05D8" w:rsidRPr="003939A7">
        <w:rPr>
          <w:rFonts w:cs="Arial"/>
        </w:rPr>
        <w:t>)</w:t>
      </w:r>
      <w:r w:rsidR="006D2C5C" w:rsidRPr="003939A7">
        <w:rPr>
          <w:rFonts w:cs="Arial"/>
        </w:rPr>
        <w:t>.</w:t>
      </w:r>
      <w:r w:rsidR="00E3698E" w:rsidRPr="003939A7">
        <w:rPr>
          <w:rFonts w:cs="Arial"/>
        </w:rPr>
        <w:t xml:space="preserve"> </w:t>
      </w:r>
      <w:r w:rsidR="000A6CA6" w:rsidRPr="003939A7">
        <w:rPr>
          <w:rFonts w:cs="Arial"/>
        </w:rPr>
        <w:t>The d</w:t>
      </w:r>
      <w:r w:rsidR="00E3698E" w:rsidRPr="003939A7">
        <w:rPr>
          <w:rFonts w:cs="Arial"/>
        </w:rPr>
        <w:t xml:space="preserve">ata set was </w:t>
      </w:r>
      <w:r w:rsidR="0017271D" w:rsidRPr="003939A7">
        <w:rPr>
          <w:rFonts w:cs="Arial"/>
        </w:rPr>
        <w:t xml:space="preserve">checked </w:t>
      </w:r>
      <w:r w:rsidR="00E3698E" w:rsidRPr="003939A7">
        <w:rPr>
          <w:rFonts w:cs="Arial"/>
        </w:rPr>
        <w:t xml:space="preserve">for outliers and </w:t>
      </w:r>
      <w:r w:rsidR="0017271D" w:rsidRPr="003939A7">
        <w:rPr>
          <w:rFonts w:cs="Arial"/>
        </w:rPr>
        <w:t>missing replies</w:t>
      </w:r>
      <w:r w:rsidR="009E398E" w:rsidRPr="003939A7">
        <w:rPr>
          <w:rFonts w:cs="Arial"/>
        </w:rPr>
        <w:t xml:space="preserve">. </w:t>
      </w:r>
      <w:r w:rsidR="004A2AED" w:rsidRPr="003939A7">
        <w:rPr>
          <w:rFonts w:cs="Arial"/>
        </w:rPr>
        <w:t xml:space="preserve">For participants who did not complete the SWEMWBS at any follow-up time points, </w:t>
      </w:r>
      <w:r w:rsidR="00D73726" w:rsidRPr="003939A7">
        <w:rPr>
          <w:rFonts w:cs="Arial"/>
        </w:rPr>
        <w:t>no</w:t>
      </w:r>
      <w:r w:rsidR="004A2AED" w:rsidRPr="003939A7">
        <w:rPr>
          <w:rFonts w:cs="Arial"/>
        </w:rPr>
        <w:t xml:space="preserve"> </w:t>
      </w:r>
      <w:r w:rsidR="00BA0841" w:rsidRPr="003939A7">
        <w:rPr>
          <w:rFonts w:cs="Arial"/>
        </w:rPr>
        <w:t xml:space="preserve">imputation techniques </w:t>
      </w:r>
      <w:r w:rsidR="00D73726" w:rsidRPr="003939A7">
        <w:rPr>
          <w:rFonts w:cs="Arial"/>
        </w:rPr>
        <w:t xml:space="preserve">were used </w:t>
      </w:r>
      <w:r w:rsidR="00BA0841" w:rsidRPr="003939A7">
        <w:rPr>
          <w:rFonts w:cs="Arial"/>
        </w:rPr>
        <w:t xml:space="preserve">to </w:t>
      </w:r>
      <w:r w:rsidR="00625CF5" w:rsidRPr="003939A7">
        <w:rPr>
          <w:rFonts w:cs="Arial"/>
        </w:rPr>
        <w:t>replace the missing replies</w:t>
      </w:r>
      <w:r w:rsidR="004A2AED" w:rsidRPr="003939A7">
        <w:rPr>
          <w:rFonts w:cs="Arial"/>
        </w:rPr>
        <w:t xml:space="preserve"> with substituted values</w:t>
      </w:r>
      <w:r w:rsidR="00BD4818" w:rsidRPr="003939A7">
        <w:rPr>
          <w:rFonts w:cs="Arial"/>
        </w:rPr>
        <w:t xml:space="preserve">. </w:t>
      </w:r>
      <w:r w:rsidR="009477D6" w:rsidRPr="003939A7">
        <w:rPr>
          <w:rFonts w:cs="Arial"/>
        </w:rPr>
        <w:t>Therefore, a</w:t>
      </w:r>
      <w:r w:rsidR="00BA0841" w:rsidRPr="003939A7">
        <w:rPr>
          <w:rFonts w:cs="Arial"/>
        </w:rPr>
        <w:t xml:space="preserve"> per-protocol analysi</w:t>
      </w:r>
      <w:r w:rsidR="009477D6" w:rsidRPr="003939A7">
        <w:rPr>
          <w:rFonts w:cs="Arial"/>
        </w:rPr>
        <w:t xml:space="preserve">s was conducted on data </w:t>
      </w:r>
      <w:r w:rsidR="00965336" w:rsidRPr="003939A7">
        <w:rPr>
          <w:rFonts w:cs="Arial"/>
        </w:rPr>
        <w:t>including only those</w:t>
      </w:r>
      <w:r w:rsidR="00BA0841" w:rsidRPr="003939A7">
        <w:rPr>
          <w:rFonts w:cs="Arial"/>
        </w:rPr>
        <w:t xml:space="preserve"> participants who completed the SWEMWBS at </w:t>
      </w:r>
      <w:r w:rsidR="00965336" w:rsidRPr="003939A7">
        <w:rPr>
          <w:rFonts w:cs="Arial"/>
        </w:rPr>
        <w:t>any of the study</w:t>
      </w:r>
      <w:r w:rsidR="009477D6" w:rsidRPr="003939A7">
        <w:rPr>
          <w:rFonts w:cs="Arial"/>
        </w:rPr>
        <w:t xml:space="preserve"> time points. </w:t>
      </w:r>
      <w:r w:rsidR="00003AF8" w:rsidRPr="003939A7">
        <w:rPr>
          <w:rFonts w:cs="Arial"/>
        </w:rPr>
        <w:t>G</w:t>
      </w:r>
      <w:r w:rsidR="00C567A6" w:rsidRPr="003939A7">
        <w:rPr>
          <w:rFonts w:cs="Arial"/>
        </w:rPr>
        <w:t xml:space="preserve">iven the </w:t>
      </w:r>
      <w:r w:rsidR="00BB1154" w:rsidRPr="003939A7">
        <w:rPr>
          <w:rFonts w:cs="Arial"/>
        </w:rPr>
        <w:t xml:space="preserve">relatively </w:t>
      </w:r>
      <w:r w:rsidR="00C567A6" w:rsidRPr="003939A7">
        <w:rPr>
          <w:rFonts w:cs="Arial"/>
        </w:rPr>
        <w:t>small sample size, non-parametric tests were employed</w:t>
      </w:r>
      <w:r w:rsidR="00C60601" w:rsidRPr="003939A7">
        <w:rPr>
          <w:rFonts w:cs="Arial"/>
        </w:rPr>
        <w:t xml:space="preserve"> and relevant assumptio</w:t>
      </w:r>
      <w:r w:rsidR="00075F83" w:rsidRPr="003939A7">
        <w:rPr>
          <w:rFonts w:cs="Arial"/>
        </w:rPr>
        <w:t>ns were tested</w:t>
      </w:r>
      <w:r w:rsidR="00C567A6" w:rsidRPr="003939A7">
        <w:rPr>
          <w:rFonts w:cs="Arial"/>
        </w:rPr>
        <w:t xml:space="preserve">. </w:t>
      </w:r>
      <w:r w:rsidR="00107167" w:rsidRPr="003939A7">
        <w:rPr>
          <w:rFonts w:cs="Arial"/>
        </w:rPr>
        <w:t xml:space="preserve">To </w:t>
      </w:r>
      <w:r w:rsidR="004C2CF2" w:rsidRPr="003939A7">
        <w:rPr>
          <w:rFonts w:cs="Arial"/>
        </w:rPr>
        <w:t>examine</w:t>
      </w:r>
      <w:r w:rsidR="00107167" w:rsidRPr="003939A7">
        <w:rPr>
          <w:rFonts w:cs="Arial"/>
        </w:rPr>
        <w:t xml:space="preserve"> the changes </w:t>
      </w:r>
      <w:r w:rsidR="00941A1A" w:rsidRPr="003939A7">
        <w:rPr>
          <w:rFonts w:cs="Arial"/>
        </w:rPr>
        <w:t xml:space="preserve">in </w:t>
      </w:r>
      <w:r w:rsidR="00FF334C" w:rsidRPr="003939A7">
        <w:rPr>
          <w:rFonts w:cs="Arial"/>
        </w:rPr>
        <w:t>SWEMWBS scores</w:t>
      </w:r>
      <w:r w:rsidR="000A1980" w:rsidRPr="003939A7">
        <w:rPr>
          <w:rFonts w:cs="Arial"/>
        </w:rPr>
        <w:t xml:space="preserve"> </w:t>
      </w:r>
      <w:r w:rsidR="00107167" w:rsidRPr="003939A7">
        <w:rPr>
          <w:rFonts w:cs="Arial"/>
        </w:rPr>
        <w:t xml:space="preserve">within </w:t>
      </w:r>
      <w:r w:rsidR="001976C4" w:rsidRPr="003939A7">
        <w:rPr>
          <w:rFonts w:cs="Arial"/>
        </w:rPr>
        <w:t xml:space="preserve">the </w:t>
      </w:r>
      <w:r w:rsidR="00107167" w:rsidRPr="003939A7">
        <w:rPr>
          <w:rFonts w:cs="Arial"/>
        </w:rPr>
        <w:t>intervention group</w:t>
      </w:r>
      <w:r w:rsidR="001976C4" w:rsidRPr="003939A7">
        <w:rPr>
          <w:rFonts w:cs="Arial"/>
        </w:rPr>
        <w:t>s</w:t>
      </w:r>
      <w:r w:rsidR="00107167" w:rsidRPr="003939A7">
        <w:rPr>
          <w:rFonts w:cs="Arial"/>
        </w:rPr>
        <w:t xml:space="preserve"> from baseline to mid, end</w:t>
      </w:r>
      <w:r w:rsidR="00BB1154" w:rsidRPr="003939A7">
        <w:rPr>
          <w:rFonts w:cs="Arial"/>
        </w:rPr>
        <w:t>,</w:t>
      </w:r>
      <w:r w:rsidR="00107167" w:rsidRPr="003939A7">
        <w:rPr>
          <w:rFonts w:cs="Arial"/>
        </w:rPr>
        <w:t xml:space="preserve"> and one-year post-</w:t>
      </w:r>
      <w:r w:rsidR="00780864" w:rsidRPr="003939A7">
        <w:rPr>
          <w:rFonts w:cs="Arial"/>
        </w:rPr>
        <w:t>intervention</w:t>
      </w:r>
      <w:r w:rsidR="00107167" w:rsidRPr="003939A7">
        <w:rPr>
          <w:rFonts w:cs="Arial"/>
        </w:rPr>
        <w:t xml:space="preserve">, </w:t>
      </w:r>
      <w:r w:rsidR="00BB1154" w:rsidRPr="003939A7">
        <w:rPr>
          <w:rFonts w:cs="Arial"/>
        </w:rPr>
        <w:t xml:space="preserve">the </w:t>
      </w:r>
      <w:r w:rsidR="00044ABA" w:rsidRPr="003939A7">
        <w:rPr>
          <w:rFonts w:cs="Arial"/>
        </w:rPr>
        <w:t xml:space="preserve">Wilcoxon signed-ranks test </w:t>
      </w:r>
      <w:r w:rsidR="001976C4" w:rsidRPr="003939A7">
        <w:rPr>
          <w:rFonts w:cs="Arial"/>
        </w:rPr>
        <w:t xml:space="preserve">was </w:t>
      </w:r>
      <w:r w:rsidR="00107167" w:rsidRPr="003939A7">
        <w:rPr>
          <w:rFonts w:cs="Arial"/>
        </w:rPr>
        <w:t>employed</w:t>
      </w:r>
      <w:r w:rsidR="00FF334C" w:rsidRPr="003939A7">
        <w:rPr>
          <w:rFonts w:cs="Arial"/>
        </w:rPr>
        <w:t>.</w:t>
      </w:r>
      <w:r w:rsidR="000463AA" w:rsidRPr="003939A7">
        <w:rPr>
          <w:rFonts w:cs="Arial"/>
        </w:rPr>
        <w:t xml:space="preserve"> The significance level was considered </w:t>
      </w:r>
      <w:r w:rsidR="00BB1154" w:rsidRPr="003939A7">
        <w:rPr>
          <w:rFonts w:cs="Arial"/>
        </w:rPr>
        <w:t>to be</w:t>
      </w:r>
      <w:r w:rsidR="000463AA" w:rsidRPr="003939A7">
        <w:rPr>
          <w:rFonts w:cs="Arial"/>
        </w:rPr>
        <w:t xml:space="preserve"> 0.05.</w:t>
      </w:r>
      <w:r w:rsidR="00FF334C" w:rsidRPr="003939A7">
        <w:rPr>
          <w:rFonts w:cs="Arial"/>
        </w:rPr>
        <w:t xml:space="preserve"> </w:t>
      </w:r>
    </w:p>
    <w:p w14:paraId="027D4138" w14:textId="77777777" w:rsidR="00044ABA" w:rsidRPr="003939A7" w:rsidRDefault="00044ABA" w:rsidP="00B67936">
      <w:pPr>
        <w:spacing w:after="0" w:line="360" w:lineRule="auto"/>
        <w:jc w:val="both"/>
        <w:rPr>
          <w:rFonts w:cs="Arial"/>
          <w:vertAlign w:val="superscript"/>
        </w:rPr>
      </w:pPr>
    </w:p>
    <w:p w14:paraId="1A3BA6F6" w14:textId="7C0B4BE9" w:rsidR="000B265C" w:rsidRPr="003939A7" w:rsidRDefault="000B265C" w:rsidP="00B67936">
      <w:pPr>
        <w:spacing w:after="0" w:line="360" w:lineRule="auto"/>
        <w:jc w:val="both"/>
        <w:rPr>
          <w:rFonts w:cs="Arial"/>
        </w:rPr>
      </w:pPr>
      <w:r w:rsidRPr="003939A7">
        <w:rPr>
          <w:rFonts w:cs="Arial"/>
        </w:rPr>
        <w:t xml:space="preserve">Qualitative data from </w:t>
      </w:r>
      <w:r w:rsidR="00F36063" w:rsidRPr="003939A7">
        <w:rPr>
          <w:rFonts w:cs="Arial"/>
        </w:rPr>
        <w:t>f</w:t>
      </w:r>
      <w:r w:rsidR="00B67936" w:rsidRPr="003939A7">
        <w:rPr>
          <w:rFonts w:cs="Arial"/>
        </w:rPr>
        <w:t>ocus group</w:t>
      </w:r>
      <w:r w:rsidR="00F36063" w:rsidRPr="003939A7">
        <w:rPr>
          <w:rFonts w:cs="Arial"/>
        </w:rPr>
        <w:t>s were</w:t>
      </w:r>
      <w:r w:rsidR="00B67936" w:rsidRPr="003939A7">
        <w:rPr>
          <w:rFonts w:cs="Arial"/>
        </w:rPr>
        <w:t xml:space="preserve"> audio</w:t>
      </w:r>
      <w:r w:rsidR="00BB1154" w:rsidRPr="003939A7">
        <w:rPr>
          <w:rFonts w:cs="Arial"/>
        </w:rPr>
        <w:t>-</w:t>
      </w:r>
      <w:r w:rsidR="00B67936" w:rsidRPr="003939A7">
        <w:rPr>
          <w:rFonts w:cs="Arial"/>
        </w:rPr>
        <w:t xml:space="preserve">recorded and transcribed verbatim. Transcribed accounts </w:t>
      </w:r>
      <w:r w:rsidR="00ED16F9" w:rsidRPr="003939A7">
        <w:rPr>
          <w:rFonts w:cs="Arial"/>
        </w:rPr>
        <w:t>from the focus groups</w:t>
      </w:r>
      <w:r w:rsidR="00BB1154" w:rsidRPr="003939A7">
        <w:rPr>
          <w:rFonts w:cs="Arial"/>
        </w:rPr>
        <w:t>,</w:t>
      </w:r>
      <w:r w:rsidR="00ED16F9" w:rsidRPr="003939A7">
        <w:rPr>
          <w:rFonts w:cs="Arial"/>
        </w:rPr>
        <w:t xml:space="preserve"> and personal reflections</w:t>
      </w:r>
      <w:r w:rsidR="00BB1154" w:rsidRPr="003939A7">
        <w:rPr>
          <w:rFonts w:cs="Arial"/>
        </w:rPr>
        <w:t>,</w:t>
      </w:r>
      <w:r w:rsidR="00ED16F9" w:rsidRPr="003939A7">
        <w:rPr>
          <w:rFonts w:cs="Arial"/>
        </w:rPr>
        <w:t xml:space="preserve"> </w:t>
      </w:r>
      <w:r w:rsidR="00B67936" w:rsidRPr="003939A7">
        <w:rPr>
          <w:rFonts w:cs="Arial"/>
        </w:rPr>
        <w:t xml:space="preserve">were then analysed using </w:t>
      </w:r>
      <w:r w:rsidR="00DD0660" w:rsidRPr="003939A7">
        <w:rPr>
          <w:rFonts w:cs="Arial"/>
        </w:rPr>
        <w:t xml:space="preserve">inductive </w:t>
      </w:r>
      <w:r w:rsidR="00B67936" w:rsidRPr="003939A7">
        <w:rPr>
          <w:rFonts w:cs="Arial"/>
        </w:rPr>
        <w:t>thematic analysis (Braun</w:t>
      </w:r>
      <w:r w:rsidR="00F36063" w:rsidRPr="003939A7">
        <w:rPr>
          <w:rFonts w:cs="Arial"/>
        </w:rPr>
        <w:t xml:space="preserve"> </w:t>
      </w:r>
      <w:r w:rsidR="009E7767" w:rsidRPr="003939A7">
        <w:rPr>
          <w:rFonts w:cs="Arial"/>
        </w:rPr>
        <w:t>&amp;</w:t>
      </w:r>
      <w:r w:rsidR="00B67936" w:rsidRPr="003939A7">
        <w:rPr>
          <w:rFonts w:cs="Arial"/>
        </w:rPr>
        <w:t xml:space="preserve"> Clarke</w:t>
      </w:r>
      <w:r w:rsidR="009E7767" w:rsidRPr="003939A7">
        <w:rPr>
          <w:rFonts w:cs="Arial"/>
        </w:rPr>
        <w:t>,</w:t>
      </w:r>
      <w:r w:rsidR="00B67936" w:rsidRPr="003939A7">
        <w:rPr>
          <w:rFonts w:cs="Arial"/>
        </w:rPr>
        <w:t xml:space="preserve"> 2006). This involved </w:t>
      </w:r>
      <w:r w:rsidR="00F36063" w:rsidRPr="003939A7">
        <w:rPr>
          <w:rFonts w:cs="Arial"/>
        </w:rPr>
        <w:t xml:space="preserve">reading the </w:t>
      </w:r>
      <w:r w:rsidR="00B67936" w:rsidRPr="003939A7">
        <w:rPr>
          <w:rFonts w:cs="Arial"/>
        </w:rPr>
        <w:t xml:space="preserve">whole transcript </w:t>
      </w:r>
      <w:r w:rsidR="007D2537" w:rsidRPr="003939A7">
        <w:rPr>
          <w:rFonts w:cs="Arial"/>
        </w:rPr>
        <w:t xml:space="preserve">and </w:t>
      </w:r>
      <w:r w:rsidR="00F36063" w:rsidRPr="003939A7">
        <w:rPr>
          <w:rFonts w:cs="Arial"/>
        </w:rPr>
        <w:t xml:space="preserve">highlighting </w:t>
      </w:r>
      <w:r w:rsidR="00B67936" w:rsidRPr="003939A7">
        <w:rPr>
          <w:rFonts w:cs="Arial"/>
        </w:rPr>
        <w:t>key words or phrases</w:t>
      </w:r>
      <w:r w:rsidR="007D2537" w:rsidRPr="003939A7">
        <w:rPr>
          <w:rFonts w:cs="Arial"/>
        </w:rPr>
        <w:t xml:space="preserve">. Individual codes were then identified </w:t>
      </w:r>
      <w:r w:rsidR="000E3ACE" w:rsidRPr="003939A7">
        <w:rPr>
          <w:rFonts w:cs="Arial"/>
        </w:rPr>
        <w:t>by the lead researcher</w:t>
      </w:r>
      <w:r w:rsidR="00F36063" w:rsidRPr="003939A7">
        <w:rPr>
          <w:rFonts w:cs="Arial"/>
        </w:rPr>
        <w:t xml:space="preserve">. All individual codes were then analysed to extract key </w:t>
      </w:r>
      <w:r w:rsidR="00B67936" w:rsidRPr="003939A7">
        <w:rPr>
          <w:rFonts w:cs="Arial"/>
        </w:rPr>
        <w:t xml:space="preserve">themes </w:t>
      </w:r>
      <w:r w:rsidR="00F36063" w:rsidRPr="003939A7">
        <w:rPr>
          <w:rFonts w:cs="Arial"/>
        </w:rPr>
        <w:t>for each of the three participating groups. Potential themes were then considered across the whole data set</w:t>
      </w:r>
      <w:r w:rsidR="007D2537" w:rsidRPr="003939A7">
        <w:rPr>
          <w:rFonts w:cs="Arial"/>
        </w:rPr>
        <w:t>,</w:t>
      </w:r>
      <w:r w:rsidR="00F36063" w:rsidRPr="003939A7">
        <w:rPr>
          <w:rFonts w:cs="Arial"/>
        </w:rPr>
        <w:t xml:space="preserve"> generating a thematic map of the data</w:t>
      </w:r>
      <w:r w:rsidR="000E3ACE" w:rsidRPr="003939A7">
        <w:rPr>
          <w:rFonts w:cs="Arial"/>
        </w:rPr>
        <w:t xml:space="preserve"> </w:t>
      </w:r>
      <w:r w:rsidR="007D2537" w:rsidRPr="003939A7">
        <w:rPr>
          <w:rFonts w:cs="Arial"/>
        </w:rPr>
        <w:t xml:space="preserve">that was </w:t>
      </w:r>
      <w:r w:rsidR="000E3ACE" w:rsidRPr="003939A7">
        <w:rPr>
          <w:rFonts w:cs="Arial"/>
        </w:rPr>
        <w:t>discussed across the research team</w:t>
      </w:r>
      <w:r w:rsidR="00F36063" w:rsidRPr="003939A7">
        <w:rPr>
          <w:rFonts w:cs="Arial"/>
        </w:rPr>
        <w:t>. Analysis continued in defining each of the themes and the stor</w:t>
      </w:r>
      <w:r w:rsidR="007D2537" w:rsidRPr="003939A7">
        <w:rPr>
          <w:rFonts w:cs="Arial"/>
        </w:rPr>
        <w:t xml:space="preserve">ies </w:t>
      </w:r>
      <w:r w:rsidR="00F36063" w:rsidRPr="003939A7">
        <w:rPr>
          <w:rFonts w:cs="Arial"/>
        </w:rPr>
        <w:t>they told regarding the participants experiences of the Human Henge pro</w:t>
      </w:r>
      <w:r w:rsidR="00EE3D2F" w:rsidRPr="003939A7">
        <w:rPr>
          <w:rFonts w:cs="Arial"/>
        </w:rPr>
        <w:t>gramme</w:t>
      </w:r>
      <w:r w:rsidR="00F36063" w:rsidRPr="003939A7">
        <w:rPr>
          <w:rFonts w:cs="Arial"/>
        </w:rPr>
        <w:t xml:space="preserve"> and the impact on their mental health and well-being.</w:t>
      </w:r>
      <w:r w:rsidRPr="003939A7">
        <w:rPr>
          <w:rFonts w:cs="Arial"/>
        </w:rPr>
        <w:t xml:space="preserve"> </w:t>
      </w:r>
    </w:p>
    <w:p w14:paraId="7D80E5E3" w14:textId="77777777" w:rsidR="00ED16F9" w:rsidRPr="003939A7" w:rsidRDefault="00ED16F9" w:rsidP="00B67936">
      <w:pPr>
        <w:spacing w:after="0" w:line="360" w:lineRule="auto"/>
        <w:jc w:val="both"/>
        <w:rPr>
          <w:rFonts w:cs="Arial"/>
        </w:rPr>
      </w:pPr>
    </w:p>
    <w:p w14:paraId="550020FC" w14:textId="77777777" w:rsidR="002E5D84" w:rsidRPr="003939A7" w:rsidRDefault="006D2C5C" w:rsidP="00F521BB">
      <w:pPr>
        <w:pStyle w:val="ListParagraph"/>
        <w:numPr>
          <w:ilvl w:val="0"/>
          <w:numId w:val="8"/>
        </w:numPr>
        <w:spacing w:after="0" w:line="360" w:lineRule="auto"/>
        <w:jc w:val="both"/>
        <w:rPr>
          <w:rFonts w:cs="Arial"/>
          <w:b/>
        </w:rPr>
      </w:pPr>
      <w:r w:rsidRPr="003939A7">
        <w:rPr>
          <w:rFonts w:cs="Arial"/>
          <w:b/>
        </w:rPr>
        <w:t>Results</w:t>
      </w:r>
    </w:p>
    <w:p w14:paraId="00FE5691" w14:textId="77777777" w:rsidR="00F521BB" w:rsidRPr="003939A7" w:rsidRDefault="00F521BB" w:rsidP="00F521BB">
      <w:pPr>
        <w:pStyle w:val="ListParagraph"/>
        <w:numPr>
          <w:ilvl w:val="1"/>
          <w:numId w:val="8"/>
        </w:numPr>
        <w:spacing w:after="0" w:line="360" w:lineRule="auto"/>
        <w:jc w:val="both"/>
        <w:rPr>
          <w:rFonts w:cs="Arial"/>
          <w:i/>
        </w:rPr>
      </w:pPr>
      <w:r w:rsidRPr="003939A7">
        <w:rPr>
          <w:rFonts w:cs="Arial"/>
          <w:i/>
        </w:rPr>
        <w:t>Quantitative Data</w:t>
      </w:r>
    </w:p>
    <w:p w14:paraId="384BA52F" w14:textId="77777777" w:rsidR="00026FD2" w:rsidRPr="003939A7" w:rsidRDefault="00C02663" w:rsidP="00F521BB">
      <w:pPr>
        <w:spacing w:after="0" w:line="360" w:lineRule="auto"/>
        <w:jc w:val="both"/>
        <w:rPr>
          <w:rFonts w:cs="Arial"/>
        </w:rPr>
      </w:pPr>
      <w:r w:rsidRPr="003939A7">
        <w:rPr>
          <w:rFonts w:cs="Arial"/>
        </w:rPr>
        <w:t xml:space="preserve">Table 1 </w:t>
      </w:r>
      <w:r w:rsidR="00AC6AC4" w:rsidRPr="003939A7">
        <w:rPr>
          <w:rFonts w:cs="Arial"/>
        </w:rPr>
        <w:t>show</w:t>
      </w:r>
      <w:r w:rsidR="000A77D7" w:rsidRPr="003939A7">
        <w:rPr>
          <w:rFonts w:cs="Arial"/>
        </w:rPr>
        <w:t>s</w:t>
      </w:r>
      <w:r w:rsidRPr="003939A7">
        <w:rPr>
          <w:rFonts w:cs="Arial"/>
        </w:rPr>
        <w:t xml:space="preserve"> the </w:t>
      </w:r>
      <w:r w:rsidR="003A174F" w:rsidRPr="003939A7">
        <w:rPr>
          <w:rFonts w:cs="Arial"/>
        </w:rPr>
        <w:t xml:space="preserve">age and gender </w:t>
      </w:r>
      <w:r w:rsidR="002A36AE" w:rsidRPr="003939A7">
        <w:rPr>
          <w:rFonts w:cs="Arial"/>
        </w:rPr>
        <w:t>characteristics</w:t>
      </w:r>
      <w:r w:rsidR="00AC6AC4" w:rsidRPr="003939A7">
        <w:rPr>
          <w:rFonts w:cs="Arial"/>
        </w:rPr>
        <w:t xml:space="preserve"> of participants </w:t>
      </w:r>
      <w:r w:rsidRPr="003939A7">
        <w:rPr>
          <w:rFonts w:cs="Arial"/>
        </w:rPr>
        <w:t xml:space="preserve">of the </w:t>
      </w:r>
      <w:r w:rsidR="00AC6AC4" w:rsidRPr="003939A7">
        <w:rPr>
          <w:rFonts w:cs="Arial"/>
        </w:rPr>
        <w:t>whole</w:t>
      </w:r>
      <w:r w:rsidRPr="003939A7">
        <w:rPr>
          <w:rFonts w:cs="Arial"/>
        </w:rPr>
        <w:t xml:space="preserve"> sample and across the groups at different points</w:t>
      </w:r>
      <w:r w:rsidR="00BB1154" w:rsidRPr="003939A7">
        <w:rPr>
          <w:rFonts w:cs="Arial"/>
        </w:rPr>
        <w:t xml:space="preserve"> in time</w:t>
      </w:r>
      <w:r w:rsidRPr="003939A7">
        <w:rPr>
          <w:rFonts w:cs="Arial"/>
        </w:rPr>
        <w:t xml:space="preserve">. </w:t>
      </w:r>
      <w:r w:rsidR="00921B42" w:rsidRPr="003939A7">
        <w:rPr>
          <w:rFonts w:cs="Arial"/>
        </w:rPr>
        <w:t>A total sample of 35 individuals with a self-identified long-term mental health problem was</w:t>
      </w:r>
      <w:r w:rsidR="00B23C69" w:rsidRPr="003939A7">
        <w:rPr>
          <w:rFonts w:cs="Arial"/>
        </w:rPr>
        <w:t xml:space="preserve"> </w:t>
      </w:r>
      <w:r w:rsidR="00F54689" w:rsidRPr="003939A7">
        <w:rPr>
          <w:rFonts w:cs="Arial"/>
        </w:rPr>
        <w:t>recruited in</w:t>
      </w:r>
      <w:r w:rsidR="00EC4723" w:rsidRPr="003939A7">
        <w:rPr>
          <w:rFonts w:cs="Arial"/>
        </w:rPr>
        <w:t>to</w:t>
      </w:r>
      <w:r w:rsidR="00805F81" w:rsidRPr="003939A7">
        <w:rPr>
          <w:rFonts w:cs="Arial"/>
        </w:rPr>
        <w:t xml:space="preserve"> the study</w:t>
      </w:r>
      <w:r w:rsidR="00921B42" w:rsidRPr="003939A7">
        <w:rPr>
          <w:rFonts w:cs="Arial"/>
        </w:rPr>
        <w:t xml:space="preserve"> (</w:t>
      </w:r>
      <w:r w:rsidR="006E2CCF" w:rsidRPr="003939A7">
        <w:rPr>
          <w:rFonts w:cs="Arial"/>
        </w:rPr>
        <w:t>13</w:t>
      </w:r>
      <w:r w:rsidR="00921B42" w:rsidRPr="003939A7">
        <w:rPr>
          <w:rFonts w:cs="Arial"/>
        </w:rPr>
        <w:t xml:space="preserve"> in Group 1, 10 in Group 2</w:t>
      </w:r>
      <w:r w:rsidR="00BB1154" w:rsidRPr="003939A7">
        <w:rPr>
          <w:rFonts w:cs="Arial"/>
        </w:rPr>
        <w:t>,</w:t>
      </w:r>
      <w:r w:rsidR="00921B42" w:rsidRPr="003939A7">
        <w:rPr>
          <w:rFonts w:cs="Arial"/>
        </w:rPr>
        <w:t xml:space="preserve"> and 12 in Group 3).</w:t>
      </w:r>
      <w:r w:rsidR="006E2CCF" w:rsidRPr="003939A7">
        <w:rPr>
          <w:rFonts w:cs="Arial"/>
        </w:rPr>
        <w:t xml:space="preserve"> </w:t>
      </w:r>
      <w:r w:rsidR="00541D12" w:rsidRPr="003939A7">
        <w:rPr>
          <w:rFonts w:cs="Arial"/>
        </w:rPr>
        <w:t xml:space="preserve">However, two </w:t>
      </w:r>
      <w:r w:rsidR="009F5045" w:rsidRPr="003939A7">
        <w:rPr>
          <w:rFonts w:cs="Arial"/>
        </w:rPr>
        <w:t>participant</w:t>
      </w:r>
      <w:r w:rsidR="00541D12" w:rsidRPr="003939A7">
        <w:rPr>
          <w:rFonts w:cs="Arial"/>
        </w:rPr>
        <w:t xml:space="preserve">s in </w:t>
      </w:r>
      <w:r w:rsidR="00BB1154" w:rsidRPr="003939A7">
        <w:rPr>
          <w:rFonts w:cs="Arial"/>
        </w:rPr>
        <w:t>G</w:t>
      </w:r>
      <w:r w:rsidR="00541D12" w:rsidRPr="003939A7">
        <w:rPr>
          <w:rFonts w:cs="Arial"/>
        </w:rPr>
        <w:t xml:space="preserve">roups </w:t>
      </w:r>
      <w:r w:rsidR="009F5045" w:rsidRPr="003939A7">
        <w:rPr>
          <w:rFonts w:cs="Arial"/>
        </w:rPr>
        <w:t>1</w:t>
      </w:r>
      <w:r w:rsidR="00541D12" w:rsidRPr="003939A7">
        <w:rPr>
          <w:rFonts w:cs="Arial"/>
        </w:rPr>
        <w:t xml:space="preserve"> and 3</w:t>
      </w:r>
      <w:r w:rsidR="009F5045" w:rsidRPr="003939A7">
        <w:rPr>
          <w:rFonts w:cs="Arial"/>
        </w:rPr>
        <w:t xml:space="preserve"> joined the study after the baseline measurement</w:t>
      </w:r>
      <w:r w:rsidR="000A3533" w:rsidRPr="003939A7">
        <w:rPr>
          <w:rFonts w:cs="Arial"/>
        </w:rPr>
        <w:t xml:space="preserve"> was</w:t>
      </w:r>
      <w:r w:rsidR="009F5045" w:rsidRPr="003939A7">
        <w:rPr>
          <w:rFonts w:cs="Arial"/>
        </w:rPr>
        <w:t xml:space="preserve"> completed</w:t>
      </w:r>
      <w:r w:rsidR="00541D12" w:rsidRPr="003939A7">
        <w:rPr>
          <w:rFonts w:cs="Arial"/>
        </w:rPr>
        <w:t xml:space="preserve"> </w:t>
      </w:r>
      <w:r w:rsidR="00BB1154" w:rsidRPr="003939A7">
        <w:rPr>
          <w:rFonts w:cs="Arial"/>
        </w:rPr>
        <w:t>with the result that no</w:t>
      </w:r>
      <w:r w:rsidR="00541D12" w:rsidRPr="003939A7">
        <w:rPr>
          <w:rFonts w:cs="Arial"/>
        </w:rPr>
        <w:t xml:space="preserve"> baseline information </w:t>
      </w:r>
      <w:r w:rsidR="00BB1154" w:rsidRPr="003939A7">
        <w:rPr>
          <w:rFonts w:cs="Arial"/>
        </w:rPr>
        <w:t>was available for them</w:t>
      </w:r>
      <w:r w:rsidR="009F5045" w:rsidRPr="003939A7">
        <w:rPr>
          <w:rFonts w:cs="Arial"/>
        </w:rPr>
        <w:t xml:space="preserve">. </w:t>
      </w:r>
      <w:r w:rsidR="00E6158F" w:rsidRPr="003939A7">
        <w:rPr>
          <w:rFonts w:cs="Arial"/>
        </w:rPr>
        <w:t xml:space="preserve">The </w:t>
      </w:r>
      <w:r w:rsidR="00FF427C" w:rsidRPr="003939A7">
        <w:rPr>
          <w:rFonts w:cs="Arial"/>
        </w:rPr>
        <w:t>age range of the studied sample was diverse (</w:t>
      </w:r>
      <w:r w:rsidR="00902F28" w:rsidRPr="003939A7">
        <w:rPr>
          <w:rFonts w:cs="Arial"/>
        </w:rPr>
        <w:t>56 years</w:t>
      </w:r>
      <w:r w:rsidR="00FF427C" w:rsidRPr="003939A7">
        <w:rPr>
          <w:rFonts w:cs="Arial"/>
        </w:rPr>
        <w:t>)</w:t>
      </w:r>
      <w:r w:rsidR="00BB1154" w:rsidRPr="003939A7">
        <w:rPr>
          <w:rFonts w:cs="Arial"/>
        </w:rPr>
        <w:t>,</w:t>
      </w:r>
      <w:r w:rsidR="00E6158F" w:rsidRPr="003939A7">
        <w:rPr>
          <w:rFonts w:cs="Arial"/>
        </w:rPr>
        <w:t xml:space="preserve"> and </w:t>
      </w:r>
      <w:r w:rsidR="00641039" w:rsidRPr="003939A7">
        <w:rPr>
          <w:rFonts w:cs="Arial"/>
        </w:rPr>
        <w:t>there were more female particip</w:t>
      </w:r>
      <w:r w:rsidR="00E6158F" w:rsidRPr="003939A7">
        <w:rPr>
          <w:rFonts w:cs="Arial"/>
        </w:rPr>
        <w:t>a</w:t>
      </w:r>
      <w:r w:rsidR="00641039" w:rsidRPr="003939A7">
        <w:rPr>
          <w:rFonts w:cs="Arial"/>
        </w:rPr>
        <w:t>n</w:t>
      </w:r>
      <w:r w:rsidR="00E6158F" w:rsidRPr="003939A7">
        <w:rPr>
          <w:rFonts w:cs="Arial"/>
        </w:rPr>
        <w:t xml:space="preserve">ts than males (53.3% </w:t>
      </w:r>
      <w:r w:rsidR="00BB1154" w:rsidRPr="003939A7">
        <w:rPr>
          <w:rFonts w:cs="Arial"/>
        </w:rPr>
        <w:t>against</w:t>
      </w:r>
      <w:r w:rsidR="00E6158F" w:rsidRPr="003939A7">
        <w:rPr>
          <w:rFonts w:cs="Arial"/>
        </w:rPr>
        <w:t xml:space="preserve"> 46.75</w:t>
      </w:r>
      <w:r w:rsidR="00921B42" w:rsidRPr="003939A7">
        <w:rPr>
          <w:rFonts w:cs="Arial"/>
        </w:rPr>
        <w:t>%</w:t>
      </w:r>
      <w:r w:rsidR="00E6158F" w:rsidRPr="003939A7">
        <w:rPr>
          <w:rFonts w:cs="Arial"/>
        </w:rPr>
        <w:t xml:space="preserve">). </w:t>
      </w:r>
    </w:p>
    <w:p w14:paraId="490CD1DE" w14:textId="77777777" w:rsidR="00876312" w:rsidRPr="003939A7" w:rsidRDefault="00876312" w:rsidP="00876312">
      <w:pPr>
        <w:spacing w:after="0" w:line="360" w:lineRule="auto"/>
        <w:jc w:val="both"/>
        <w:rPr>
          <w:rFonts w:cs="Arial"/>
        </w:rPr>
      </w:pPr>
    </w:p>
    <w:p w14:paraId="0BDC1621" w14:textId="77777777" w:rsidR="00B7433A" w:rsidRPr="003939A7" w:rsidRDefault="004F169A" w:rsidP="00876312">
      <w:pPr>
        <w:spacing w:after="0" w:line="360" w:lineRule="auto"/>
        <w:jc w:val="both"/>
        <w:rPr>
          <w:rFonts w:cs="Arial"/>
        </w:rPr>
      </w:pPr>
      <w:r w:rsidRPr="003939A7">
        <w:rPr>
          <w:rFonts w:cs="Arial"/>
        </w:rPr>
        <w:t xml:space="preserve">The age and gender </w:t>
      </w:r>
      <w:r w:rsidR="003E6841" w:rsidRPr="003939A7">
        <w:rPr>
          <w:rFonts w:cs="Arial"/>
        </w:rPr>
        <w:t xml:space="preserve">demographic </w:t>
      </w:r>
      <w:r w:rsidRPr="003939A7">
        <w:rPr>
          <w:rFonts w:cs="Arial"/>
        </w:rPr>
        <w:t>within groups were not equal</w:t>
      </w:r>
      <w:r w:rsidR="007108E8" w:rsidRPr="003939A7">
        <w:rPr>
          <w:rFonts w:cs="Arial"/>
        </w:rPr>
        <w:t>ly</w:t>
      </w:r>
      <w:r w:rsidR="00633397" w:rsidRPr="003939A7">
        <w:rPr>
          <w:rFonts w:cs="Arial"/>
        </w:rPr>
        <w:t xml:space="preserve"> distributed</w:t>
      </w:r>
      <w:r w:rsidR="002E3A57" w:rsidRPr="003939A7">
        <w:rPr>
          <w:rFonts w:cs="Arial"/>
        </w:rPr>
        <w:t>.</w:t>
      </w:r>
      <w:r w:rsidR="0012332C" w:rsidRPr="003939A7">
        <w:rPr>
          <w:rFonts w:cs="Arial"/>
        </w:rPr>
        <w:t xml:space="preserve"> </w:t>
      </w:r>
      <w:r w:rsidR="002E3A57" w:rsidRPr="003939A7">
        <w:rPr>
          <w:rFonts w:cs="Arial"/>
        </w:rPr>
        <w:t>P</w:t>
      </w:r>
      <w:r w:rsidR="00026FD2" w:rsidRPr="003939A7">
        <w:rPr>
          <w:rFonts w:cs="Arial"/>
        </w:rPr>
        <w:t>articipants in Group 1 were reported to be older th</w:t>
      </w:r>
      <w:r w:rsidR="00FF427C" w:rsidRPr="003939A7">
        <w:rPr>
          <w:rFonts w:cs="Arial"/>
        </w:rPr>
        <w:t>an the two other groups (</w:t>
      </w:r>
      <w:r w:rsidR="00BB1154" w:rsidRPr="003939A7">
        <w:rPr>
          <w:rFonts w:cs="Arial"/>
        </w:rPr>
        <w:t xml:space="preserve">average </w:t>
      </w:r>
      <w:r w:rsidR="00026FD2" w:rsidRPr="003939A7">
        <w:rPr>
          <w:rFonts w:cs="Arial"/>
        </w:rPr>
        <w:t>56</w:t>
      </w:r>
      <w:r w:rsidR="00BB1154" w:rsidRPr="003939A7">
        <w:rPr>
          <w:rFonts w:cs="Arial"/>
        </w:rPr>
        <w:t>,</w:t>
      </w:r>
      <w:r w:rsidR="00026FD2" w:rsidRPr="003939A7">
        <w:rPr>
          <w:rFonts w:cs="Arial"/>
        </w:rPr>
        <w:t xml:space="preserve"> 43.5</w:t>
      </w:r>
      <w:r w:rsidR="00BB1154" w:rsidRPr="003939A7">
        <w:rPr>
          <w:rFonts w:cs="Arial"/>
        </w:rPr>
        <w:t>,</w:t>
      </w:r>
      <w:r w:rsidR="00026FD2" w:rsidRPr="003939A7">
        <w:rPr>
          <w:rFonts w:cs="Arial"/>
        </w:rPr>
        <w:t xml:space="preserve"> and 37 years</w:t>
      </w:r>
      <w:r w:rsidR="00BB1154" w:rsidRPr="003939A7">
        <w:rPr>
          <w:rFonts w:cs="Arial"/>
        </w:rPr>
        <w:t xml:space="preserve"> respectively</w:t>
      </w:r>
      <w:r w:rsidR="00026FD2" w:rsidRPr="003939A7">
        <w:rPr>
          <w:rFonts w:cs="Arial"/>
        </w:rPr>
        <w:t xml:space="preserve">) and </w:t>
      </w:r>
      <w:r w:rsidR="006A48C6" w:rsidRPr="003939A7">
        <w:rPr>
          <w:rFonts w:cs="Arial"/>
        </w:rPr>
        <w:t xml:space="preserve">were also </w:t>
      </w:r>
      <w:r w:rsidR="00026FD2" w:rsidRPr="003939A7">
        <w:rPr>
          <w:rFonts w:cs="Arial"/>
        </w:rPr>
        <w:t xml:space="preserve">mostly </w:t>
      </w:r>
      <w:r w:rsidR="006A48C6" w:rsidRPr="003939A7">
        <w:rPr>
          <w:rFonts w:cs="Arial"/>
        </w:rPr>
        <w:t>males</w:t>
      </w:r>
      <w:r w:rsidR="00026FD2" w:rsidRPr="003939A7">
        <w:rPr>
          <w:rFonts w:cs="Arial"/>
        </w:rPr>
        <w:t xml:space="preserve"> (</w:t>
      </w:r>
      <w:r w:rsidR="006A48C6" w:rsidRPr="003939A7">
        <w:rPr>
          <w:rFonts w:cs="Arial"/>
        </w:rPr>
        <w:t>69.2%</w:t>
      </w:r>
      <w:r w:rsidR="00026FD2" w:rsidRPr="003939A7">
        <w:rPr>
          <w:rFonts w:cs="Arial"/>
        </w:rPr>
        <w:t>).</w:t>
      </w:r>
      <w:r w:rsidR="00AF7F37" w:rsidRPr="003939A7">
        <w:rPr>
          <w:rFonts w:cs="Arial"/>
        </w:rPr>
        <w:t xml:space="preserve"> </w:t>
      </w:r>
      <w:r w:rsidR="006A7B70" w:rsidRPr="003939A7">
        <w:rPr>
          <w:rFonts w:cs="Arial"/>
        </w:rPr>
        <w:t xml:space="preserve">The gender distribution in </w:t>
      </w:r>
      <w:r w:rsidR="00BB1154" w:rsidRPr="003939A7">
        <w:rPr>
          <w:rFonts w:cs="Arial"/>
        </w:rPr>
        <w:t>G</w:t>
      </w:r>
      <w:r w:rsidR="006A7B70" w:rsidRPr="003939A7">
        <w:rPr>
          <w:rFonts w:cs="Arial"/>
        </w:rPr>
        <w:t xml:space="preserve">roups 2 and 3 were relatively similar </w:t>
      </w:r>
      <w:r w:rsidR="00D766D9" w:rsidRPr="003939A7">
        <w:rPr>
          <w:rFonts w:cs="Arial"/>
        </w:rPr>
        <w:t>where most participants were female</w:t>
      </w:r>
      <w:r w:rsidR="007D2537" w:rsidRPr="003939A7">
        <w:rPr>
          <w:rFonts w:cs="Arial"/>
        </w:rPr>
        <w:t>. Ho</w:t>
      </w:r>
      <w:r w:rsidR="003909A9" w:rsidRPr="003939A7">
        <w:rPr>
          <w:rFonts w:cs="Arial"/>
        </w:rPr>
        <w:t>wever</w:t>
      </w:r>
      <w:r w:rsidR="00BB1154" w:rsidRPr="003939A7">
        <w:rPr>
          <w:rFonts w:cs="Arial"/>
        </w:rPr>
        <w:t>,</w:t>
      </w:r>
      <w:r w:rsidR="00C23607" w:rsidRPr="003939A7">
        <w:rPr>
          <w:rFonts w:cs="Arial"/>
        </w:rPr>
        <w:t xml:space="preserve"> </w:t>
      </w:r>
      <w:r w:rsidR="003909A9" w:rsidRPr="003939A7">
        <w:rPr>
          <w:rFonts w:cs="Arial"/>
        </w:rPr>
        <w:t xml:space="preserve">participants in Group 2 tended to be </w:t>
      </w:r>
      <w:r w:rsidR="005C4A43" w:rsidRPr="003939A7">
        <w:rPr>
          <w:rFonts w:cs="Arial"/>
        </w:rPr>
        <w:t>older</w:t>
      </w:r>
      <w:r w:rsidR="00975A85" w:rsidRPr="003939A7">
        <w:rPr>
          <w:rFonts w:cs="Arial"/>
        </w:rPr>
        <w:t xml:space="preserve"> </w:t>
      </w:r>
      <w:r w:rsidR="00975A85" w:rsidRPr="003939A7">
        <w:rPr>
          <w:rFonts w:cs="Arial"/>
        </w:rPr>
        <w:lastRenderedPageBreak/>
        <w:t>(median=</w:t>
      </w:r>
      <w:r w:rsidR="005C4A43" w:rsidRPr="003939A7">
        <w:rPr>
          <w:rFonts w:cs="Arial"/>
        </w:rPr>
        <w:t>43.3</w:t>
      </w:r>
      <w:r w:rsidR="00EC7B2B" w:rsidRPr="003939A7">
        <w:rPr>
          <w:rFonts w:cs="Arial"/>
        </w:rPr>
        <w:t xml:space="preserve"> </w:t>
      </w:r>
      <w:r w:rsidR="005C4A43" w:rsidRPr="003939A7">
        <w:rPr>
          <w:rFonts w:cs="Arial"/>
        </w:rPr>
        <w:t xml:space="preserve">vs. </w:t>
      </w:r>
      <w:r w:rsidR="00975A85" w:rsidRPr="003939A7">
        <w:rPr>
          <w:rFonts w:cs="Arial"/>
        </w:rPr>
        <w:t>37 years).</w:t>
      </w:r>
      <w:r w:rsidR="007F297B" w:rsidRPr="003939A7">
        <w:rPr>
          <w:rFonts w:cs="Arial"/>
        </w:rPr>
        <w:t xml:space="preserve"> </w:t>
      </w:r>
      <w:r w:rsidR="007D2537" w:rsidRPr="003939A7">
        <w:rPr>
          <w:rFonts w:cs="Arial"/>
        </w:rPr>
        <w:t xml:space="preserve">A smaller </w:t>
      </w:r>
      <w:r w:rsidR="00736FD6" w:rsidRPr="003939A7">
        <w:rPr>
          <w:rFonts w:cs="Arial"/>
        </w:rPr>
        <w:t xml:space="preserve">number of participants in all the groups  took part in the one-year post </w:t>
      </w:r>
      <w:r w:rsidR="00780864" w:rsidRPr="003939A7">
        <w:rPr>
          <w:rFonts w:cs="Arial"/>
        </w:rPr>
        <w:t>intervention</w:t>
      </w:r>
      <w:r w:rsidR="00736FD6" w:rsidRPr="003939A7">
        <w:rPr>
          <w:rFonts w:cs="Arial"/>
        </w:rPr>
        <w:t xml:space="preserve"> follow-up where the lowest participation rate was in Group 3 (41.6%: 5 out of 12).  </w:t>
      </w:r>
    </w:p>
    <w:p w14:paraId="1549B9B8" w14:textId="77777777" w:rsidR="00876312" w:rsidRPr="003939A7" w:rsidRDefault="00876312" w:rsidP="00876312">
      <w:pPr>
        <w:spacing w:after="0" w:line="360" w:lineRule="auto"/>
        <w:jc w:val="both"/>
        <w:rPr>
          <w:rFonts w:cs="Arial"/>
        </w:rPr>
      </w:pPr>
    </w:p>
    <w:p w14:paraId="4866977E" w14:textId="77777777" w:rsidR="00BF024A" w:rsidRPr="003939A7" w:rsidRDefault="003E6D93" w:rsidP="005B375F">
      <w:r w:rsidRPr="003939A7">
        <w:t xml:space="preserve">Table </w:t>
      </w:r>
      <w:r w:rsidR="003939A7" w:rsidRPr="003939A7">
        <w:fldChar w:fldCharType="begin"/>
      </w:r>
      <w:r w:rsidR="003939A7" w:rsidRPr="003939A7">
        <w:instrText xml:space="preserve"> SEQ Table \* ARABIC </w:instrText>
      </w:r>
      <w:r w:rsidR="003939A7" w:rsidRPr="003939A7">
        <w:fldChar w:fldCharType="separate"/>
      </w:r>
      <w:r w:rsidR="000E3ACE" w:rsidRPr="003939A7">
        <w:rPr>
          <w:noProof/>
        </w:rPr>
        <w:t>1</w:t>
      </w:r>
      <w:r w:rsidR="003939A7" w:rsidRPr="003939A7">
        <w:rPr>
          <w:noProof/>
        </w:rPr>
        <w:fldChar w:fldCharType="end"/>
      </w:r>
      <w:r w:rsidR="005B375F" w:rsidRPr="003939A7">
        <w:rPr>
          <w:noProof/>
        </w:rPr>
        <w:t>.</w:t>
      </w:r>
      <w:r w:rsidRPr="003939A7">
        <w:t xml:space="preserve"> Demographic characteristics of the study sample</w:t>
      </w:r>
    </w:p>
    <w:tbl>
      <w:tblPr>
        <w:tblStyle w:val="TableGrid"/>
        <w:tblW w:w="0" w:type="auto"/>
        <w:tblLook w:val="04A0" w:firstRow="1" w:lastRow="0" w:firstColumn="1" w:lastColumn="0" w:noHBand="0" w:noVBand="1"/>
      </w:tblPr>
      <w:tblGrid>
        <w:gridCol w:w="2518"/>
        <w:gridCol w:w="1418"/>
        <w:gridCol w:w="1559"/>
        <w:gridCol w:w="1701"/>
        <w:gridCol w:w="2046"/>
      </w:tblGrid>
      <w:tr w:rsidR="00780864" w:rsidRPr="003939A7" w14:paraId="321BED7B" w14:textId="77777777" w:rsidTr="00200572">
        <w:tc>
          <w:tcPr>
            <w:tcW w:w="2518" w:type="dxa"/>
          </w:tcPr>
          <w:p w14:paraId="22CE99D6" w14:textId="77777777" w:rsidR="00C565E9" w:rsidRPr="003939A7" w:rsidRDefault="00C565E9" w:rsidP="004361B7">
            <w:pPr>
              <w:jc w:val="both"/>
              <w:rPr>
                <w:rFonts w:cs="Arial"/>
              </w:rPr>
            </w:pPr>
          </w:p>
        </w:tc>
        <w:tc>
          <w:tcPr>
            <w:tcW w:w="1418" w:type="dxa"/>
          </w:tcPr>
          <w:p w14:paraId="6AF07125" w14:textId="77777777" w:rsidR="001E6E1D" w:rsidRPr="003939A7" w:rsidRDefault="001E4E7F" w:rsidP="004361B7">
            <w:pPr>
              <w:jc w:val="both"/>
              <w:rPr>
                <w:rFonts w:cs="Arial"/>
              </w:rPr>
            </w:pPr>
            <w:r w:rsidRPr="003939A7">
              <w:rPr>
                <w:rFonts w:cs="Arial"/>
              </w:rPr>
              <w:t>Baseline</w:t>
            </w:r>
          </w:p>
        </w:tc>
        <w:tc>
          <w:tcPr>
            <w:tcW w:w="1559" w:type="dxa"/>
          </w:tcPr>
          <w:p w14:paraId="25318072" w14:textId="77777777" w:rsidR="005C7C80" w:rsidRPr="003939A7" w:rsidRDefault="00786934" w:rsidP="00780864">
            <w:pPr>
              <w:jc w:val="both"/>
              <w:rPr>
                <w:rFonts w:cs="Arial"/>
              </w:rPr>
            </w:pPr>
            <w:r w:rsidRPr="003939A7">
              <w:rPr>
                <w:rFonts w:cs="Arial"/>
              </w:rPr>
              <w:t xml:space="preserve">Mid </w:t>
            </w:r>
            <w:r w:rsidR="00780864" w:rsidRPr="003939A7">
              <w:rPr>
                <w:rFonts w:cs="Arial"/>
              </w:rPr>
              <w:t>intervention</w:t>
            </w:r>
          </w:p>
        </w:tc>
        <w:tc>
          <w:tcPr>
            <w:tcW w:w="1701" w:type="dxa"/>
          </w:tcPr>
          <w:p w14:paraId="77194D62" w14:textId="77777777" w:rsidR="007806F7" w:rsidRPr="003939A7" w:rsidRDefault="00D47A35" w:rsidP="00780864">
            <w:pPr>
              <w:jc w:val="both"/>
              <w:rPr>
                <w:rFonts w:cs="Arial"/>
              </w:rPr>
            </w:pPr>
            <w:r w:rsidRPr="003939A7">
              <w:rPr>
                <w:rFonts w:cs="Arial"/>
              </w:rPr>
              <w:t xml:space="preserve">End of </w:t>
            </w:r>
            <w:r w:rsidR="00780864" w:rsidRPr="003939A7">
              <w:rPr>
                <w:rFonts w:cs="Arial"/>
              </w:rPr>
              <w:t>intervention</w:t>
            </w:r>
          </w:p>
        </w:tc>
        <w:tc>
          <w:tcPr>
            <w:tcW w:w="2046" w:type="dxa"/>
          </w:tcPr>
          <w:p w14:paraId="20BA9CBE" w14:textId="77777777" w:rsidR="007806F7" w:rsidRPr="003939A7" w:rsidRDefault="008305BC" w:rsidP="00780864">
            <w:pPr>
              <w:jc w:val="both"/>
              <w:rPr>
                <w:rFonts w:cs="Arial"/>
              </w:rPr>
            </w:pPr>
            <w:r w:rsidRPr="003939A7">
              <w:rPr>
                <w:rFonts w:cs="Arial"/>
              </w:rPr>
              <w:t>1-y</w:t>
            </w:r>
            <w:r w:rsidR="006D0C3D" w:rsidRPr="003939A7">
              <w:rPr>
                <w:rFonts w:cs="Arial"/>
              </w:rPr>
              <w:t>ea</w:t>
            </w:r>
            <w:r w:rsidR="00B17851" w:rsidRPr="003939A7">
              <w:rPr>
                <w:rFonts w:cs="Arial"/>
              </w:rPr>
              <w:t xml:space="preserve">r post </w:t>
            </w:r>
            <w:r w:rsidR="00780864" w:rsidRPr="003939A7">
              <w:rPr>
                <w:rFonts w:cs="Arial"/>
              </w:rPr>
              <w:t>intervention</w:t>
            </w:r>
          </w:p>
        </w:tc>
      </w:tr>
      <w:tr w:rsidR="00780864" w:rsidRPr="003939A7" w14:paraId="41368578" w14:textId="77777777" w:rsidTr="00200572">
        <w:tc>
          <w:tcPr>
            <w:tcW w:w="2518" w:type="dxa"/>
          </w:tcPr>
          <w:p w14:paraId="747253F5" w14:textId="77777777" w:rsidR="000877CD" w:rsidRPr="003939A7" w:rsidRDefault="004837D5" w:rsidP="0097067C">
            <w:pPr>
              <w:rPr>
                <w:rFonts w:cs="Arial"/>
              </w:rPr>
            </w:pPr>
            <w:r w:rsidRPr="003939A7">
              <w:rPr>
                <w:rFonts w:cs="Arial"/>
              </w:rPr>
              <w:t xml:space="preserve">Age </w:t>
            </w:r>
            <w:r w:rsidR="00423F34" w:rsidRPr="003939A7">
              <w:rPr>
                <w:rFonts w:cs="Arial"/>
              </w:rPr>
              <w:t>(</w:t>
            </w:r>
            <w:r w:rsidR="00423EDB" w:rsidRPr="003939A7">
              <w:rPr>
                <w:rFonts w:cs="Arial"/>
              </w:rPr>
              <w:t>y</w:t>
            </w:r>
            <w:r w:rsidR="00423F34" w:rsidRPr="003939A7">
              <w:rPr>
                <w:rFonts w:cs="Arial"/>
              </w:rPr>
              <w:t>ears)</w:t>
            </w:r>
          </w:p>
          <w:p w14:paraId="610BDAC2" w14:textId="77777777" w:rsidR="004837D5" w:rsidRPr="003939A7" w:rsidRDefault="004837D5" w:rsidP="0097067C">
            <w:pPr>
              <w:rPr>
                <w:rFonts w:cs="Arial"/>
              </w:rPr>
            </w:pPr>
            <w:r w:rsidRPr="003939A7">
              <w:rPr>
                <w:rFonts w:cs="Arial"/>
              </w:rPr>
              <w:t>Median (range)</w:t>
            </w:r>
          </w:p>
          <w:p w14:paraId="1ED42EF4" w14:textId="77777777" w:rsidR="004837D5" w:rsidRPr="003939A7" w:rsidRDefault="004837D5" w:rsidP="0097067C">
            <w:pPr>
              <w:rPr>
                <w:rFonts w:cs="Arial"/>
              </w:rPr>
            </w:pPr>
            <w:r w:rsidRPr="003939A7">
              <w:rPr>
                <w:rFonts w:cs="Arial"/>
              </w:rPr>
              <w:t>Interquartile range (IQR)</w:t>
            </w:r>
          </w:p>
        </w:tc>
        <w:tc>
          <w:tcPr>
            <w:tcW w:w="1418" w:type="dxa"/>
          </w:tcPr>
          <w:p w14:paraId="4D19FE63" w14:textId="77777777" w:rsidR="006D5EA4" w:rsidRPr="003939A7" w:rsidRDefault="006D5EA4" w:rsidP="0097067C">
            <w:pPr>
              <w:rPr>
                <w:rFonts w:cs="Arial"/>
              </w:rPr>
            </w:pPr>
          </w:p>
          <w:p w14:paraId="7940FB32" w14:textId="77777777" w:rsidR="006D5EA4" w:rsidRPr="003939A7" w:rsidRDefault="006D5EA4" w:rsidP="0097067C">
            <w:pPr>
              <w:rPr>
                <w:rFonts w:cs="Arial"/>
              </w:rPr>
            </w:pPr>
            <w:r w:rsidRPr="003939A7">
              <w:rPr>
                <w:rFonts w:cs="Arial"/>
              </w:rPr>
              <w:t>4</w:t>
            </w:r>
            <w:r w:rsidR="00D02EC6" w:rsidRPr="003939A7">
              <w:rPr>
                <w:rFonts w:cs="Arial"/>
              </w:rPr>
              <w:t>4</w:t>
            </w:r>
            <w:r w:rsidRPr="003939A7">
              <w:rPr>
                <w:rFonts w:cs="Arial"/>
              </w:rPr>
              <w:t>.00 (21-77)</w:t>
            </w:r>
          </w:p>
          <w:p w14:paraId="4CF1A832" w14:textId="77777777" w:rsidR="000877CD" w:rsidRPr="003939A7" w:rsidRDefault="00D02EC6" w:rsidP="0097067C">
            <w:pPr>
              <w:rPr>
                <w:rFonts w:cs="Arial"/>
              </w:rPr>
            </w:pPr>
            <w:r w:rsidRPr="003939A7">
              <w:rPr>
                <w:rFonts w:cs="Arial"/>
              </w:rPr>
              <w:t>22</w:t>
            </w:r>
          </w:p>
        </w:tc>
        <w:tc>
          <w:tcPr>
            <w:tcW w:w="1559" w:type="dxa"/>
          </w:tcPr>
          <w:p w14:paraId="6DCE69E4" w14:textId="77777777" w:rsidR="006D5EA4" w:rsidRPr="003939A7" w:rsidRDefault="006D5EA4" w:rsidP="0097067C">
            <w:pPr>
              <w:rPr>
                <w:rFonts w:cs="Arial"/>
              </w:rPr>
            </w:pPr>
          </w:p>
          <w:p w14:paraId="22C146F7" w14:textId="77777777" w:rsidR="006D5EA4" w:rsidRPr="003939A7" w:rsidRDefault="006D5EA4" w:rsidP="0097067C">
            <w:pPr>
              <w:rPr>
                <w:rFonts w:cs="Arial"/>
              </w:rPr>
            </w:pPr>
            <w:r w:rsidRPr="003939A7">
              <w:rPr>
                <w:rFonts w:cs="Arial"/>
              </w:rPr>
              <w:t>42.00 (21-77)</w:t>
            </w:r>
          </w:p>
          <w:p w14:paraId="6BCC4460" w14:textId="77777777" w:rsidR="000877CD" w:rsidRPr="003939A7" w:rsidRDefault="0097067C" w:rsidP="0097067C">
            <w:pPr>
              <w:rPr>
                <w:rFonts w:cs="Arial"/>
              </w:rPr>
            </w:pPr>
            <w:r w:rsidRPr="003939A7">
              <w:rPr>
                <w:rFonts w:cs="Arial"/>
              </w:rPr>
              <w:t>21</w:t>
            </w:r>
          </w:p>
        </w:tc>
        <w:tc>
          <w:tcPr>
            <w:tcW w:w="1701" w:type="dxa"/>
          </w:tcPr>
          <w:p w14:paraId="1667FE21" w14:textId="77777777" w:rsidR="006D5EA4" w:rsidRPr="003939A7" w:rsidRDefault="006D5EA4" w:rsidP="0097067C">
            <w:pPr>
              <w:rPr>
                <w:rFonts w:cs="Arial"/>
              </w:rPr>
            </w:pPr>
          </w:p>
          <w:p w14:paraId="2E8CF727" w14:textId="77777777" w:rsidR="006D5EA4" w:rsidRPr="003939A7" w:rsidRDefault="006D5EA4" w:rsidP="0097067C">
            <w:pPr>
              <w:rPr>
                <w:rFonts w:cs="Arial"/>
              </w:rPr>
            </w:pPr>
            <w:r w:rsidRPr="003939A7">
              <w:rPr>
                <w:rFonts w:cs="Arial"/>
              </w:rPr>
              <w:t>43.50 (21-77)</w:t>
            </w:r>
          </w:p>
          <w:p w14:paraId="70F271BA" w14:textId="77777777" w:rsidR="000877CD" w:rsidRPr="003939A7" w:rsidRDefault="00BF024A" w:rsidP="0097067C">
            <w:pPr>
              <w:rPr>
                <w:rFonts w:cs="Arial"/>
              </w:rPr>
            </w:pPr>
            <w:r w:rsidRPr="003939A7">
              <w:rPr>
                <w:rFonts w:cs="Arial"/>
              </w:rPr>
              <w:t>22</w:t>
            </w:r>
          </w:p>
        </w:tc>
        <w:tc>
          <w:tcPr>
            <w:tcW w:w="2046" w:type="dxa"/>
          </w:tcPr>
          <w:p w14:paraId="2001CF41" w14:textId="77777777" w:rsidR="000877CD" w:rsidRPr="003939A7" w:rsidRDefault="000877CD" w:rsidP="0097067C">
            <w:pPr>
              <w:rPr>
                <w:rFonts w:cs="Arial"/>
              </w:rPr>
            </w:pPr>
          </w:p>
          <w:p w14:paraId="0078ACA3" w14:textId="77777777" w:rsidR="00A87AAA" w:rsidRPr="003939A7" w:rsidRDefault="00CB61D4" w:rsidP="0097067C">
            <w:pPr>
              <w:rPr>
                <w:rFonts w:cs="Arial"/>
              </w:rPr>
            </w:pPr>
            <w:r w:rsidRPr="003939A7">
              <w:rPr>
                <w:rFonts w:cs="Arial"/>
              </w:rPr>
              <w:t>41 (21-77)</w:t>
            </w:r>
          </w:p>
          <w:p w14:paraId="30838949" w14:textId="77777777" w:rsidR="00A87AAA" w:rsidRPr="003939A7" w:rsidRDefault="00CB61D4" w:rsidP="0097067C">
            <w:pPr>
              <w:rPr>
                <w:rFonts w:cs="Arial"/>
              </w:rPr>
            </w:pPr>
            <w:r w:rsidRPr="003939A7">
              <w:rPr>
                <w:rFonts w:cs="Arial"/>
              </w:rPr>
              <w:t>24</w:t>
            </w:r>
          </w:p>
        </w:tc>
      </w:tr>
      <w:tr w:rsidR="00780864" w:rsidRPr="003939A7" w14:paraId="7E3E3D8A" w14:textId="77777777" w:rsidTr="00200572">
        <w:tc>
          <w:tcPr>
            <w:tcW w:w="2518" w:type="dxa"/>
          </w:tcPr>
          <w:p w14:paraId="63AB2AAA" w14:textId="77777777" w:rsidR="000877CD" w:rsidRPr="003939A7" w:rsidRDefault="00200572" w:rsidP="0097067C">
            <w:pPr>
              <w:rPr>
                <w:rFonts w:cs="Arial"/>
              </w:rPr>
            </w:pPr>
            <w:r w:rsidRPr="003939A7">
              <w:rPr>
                <w:rFonts w:cs="Arial"/>
              </w:rPr>
              <w:t>Gender, Number (%)</w:t>
            </w:r>
          </w:p>
          <w:p w14:paraId="3890AAA7" w14:textId="77777777" w:rsidR="00012557" w:rsidRPr="003939A7" w:rsidRDefault="00012557" w:rsidP="0097067C">
            <w:pPr>
              <w:rPr>
                <w:rFonts w:cs="Arial"/>
              </w:rPr>
            </w:pPr>
            <w:r w:rsidRPr="003939A7">
              <w:rPr>
                <w:rFonts w:cs="Arial"/>
              </w:rPr>
              <w:t>Male</w:t>
            </w:r>
          </w:p>
          <w:p w14:paraId="20EF9BEA" w14:textId="77777777" w:rsidR="00012557" w:rsidRPr="003939A7" w:rsidRDefault="00012557" w:rsidP="0097067C">
            <w:pPr>
              <w:rPr>
                <w:rFonts w:cs="Arial"/>
              </w:rPr>
            </w:pPr>
            <w:r w:rsidRPr="003939A7">
              <w:rPr>
                <w:rFonts w:cs="Arial"/>
              </w:rPr>
              <w:t>Female</w:t>
            </w:r>
          </w:p>
        </w:tc>
        <w:tc>
          <w:tcPr>
            <w:tcW w:w="1418" w:type="dxa"/>
          </w:tcPr>
          <w:p w14:paraId="233D3248" w14:textId="77777777" w:rsidR="006D5EA4" w:rsidRPr="003939A7" w:rsidRDefault="006D5EA4" w:rsidP="0097067C">
            <w:pPr>
              <w:rPr>
                <w:rFonts w:cs="Arial"/>
              </w:rPr>
            </w:pPr>
          </w:p>
          <w:p w14:paraId="7DBEB890" w14:textId="77777777" w:rsidR="006D5EA4" w:rsidRPr="003939A7" w:rsidRDefault="006D5EA4" w:rsidP="0097067C">
            <w:pPr>
              <w:rPr>
                <w:rFonts w:cs="Arial"/>
              </w:rPr>
            </w:pPr>
            <w:r w:rsidRPr="003939A7">
              <w:rPr>
                <w:rFonts w:cs="Arial"/>
              </w:rPr>
              <w:t>16 (45.7)</w:t>
            </w:r>
          </w:p>
          <w:p w14:paraId="18BB664C" w14:textId="77777777" w:rsidR="000877CD" w:rsidRPr="003939A7" w:rsidRDefault="006D5EA4" w:rsidP="0097067C">
            <w:pPr>
              <w:rPr>
                <w:rFonts w:cs="Arial"/>
              </w:rPr>
            </w:pPr>
            <w:r w:rsidRPr="003939A7">
              <w:rPr>
                <w:rFonts w:cs="Arial"/>
              </w:rPr>
              <w:t>19 (54.3)</w:t>
            </w:r>
          </w:p>
        </w:tc>
        <w:tc>
          <w:tcPr>
            <w:tcW w:w="1559" w:type="dxa"/>
          </w:tcPr>
          <w:p w14:paraId="6850405B" w14:textId="77777777" w:rsidR="006D5EA4" w:rsidRPr="003939A7" w:rsidRDefault="006D5EA4" w:rsidP="0097067C">
            <w:pPr>
              <w:rPr>
                <w:rFonts w:cs="Arial"/>
              </w:rPr>
            </w:pPr>
          </w:p>
          <w:p w14:paraId="69C1DF96" w14:textId="77777777" w:rsidR="006D5EA4" w:rsidRPr="003939A7" w:rsidRDefault="006D5EA4" w:rsidP="0097067C">
            <w:pPr>
              <w:rPr>
                <w:rFonts w:cs="Arial"/>
              </w:rPr>
            </w:pPr>
            <w:r w:rsidRPr="003939A7">
              <w:rPr>
                <w:rFonts w:cs="Arial"/>
              </w:rPr>
              <w:t>15 (50.0)</w:t>
            </w:r>
          </w:p>
          <w:p w14:paraId="4DAB7959" w14:textId="77777777" w:rsidR="000877CD" w:rsidRPr="003939A7" w:rsidRDefault="006D5EA4" w:rsidP="0097067C">
            <w:pPr>
              <w:rPr>
                <w:rFonts w:cs="Arial"/>
              </w:rPr>
            </w:pPr>
            <w:r w:rsidRPr="003939A7">
              <w:rPr>
                <w:rFonts w:cs="Arial"/>
              </w:rPr>
              <w:t>15 (50.0)</w:t>
            </w:r>
          </w:p>
        </w:tc>
        <w:tc>
          <w:tcPr>
            <w:tcW w:w="1701" w:type="dxa"/>
          </w:tcPr>
          <w:p w14:paraId="465B2ED6" w14:textId="77777777" w:rsidR="006D5EA4" w:rsidRPr="003939A7" w:rsidRDefault="006D5EA4" w:rsidP="0097067C">
            <w:pPr>
              <w:rPr>
                <w:rFonts w:cs="Arial"/>
              </w:rPr>
            </w:pPr>
          </w:p>
          <w:p w14:paraId="3320A9F9" w14:textId="77777777" w:rsidR="006D5EA4" w:rsidRPr="003939A7" w:rsidRDefault="006D5EA4" w:rsidP="0097067C">
            <w:pPr>
              <w:rPr>
                <w:rFonts w:cs="Arial"/>
              </w:rPr>
            </w:pPr>
            <w:r w:rsidRPr="003939A7">
              <w:rPr>
                <w:rFonts w:cs="Arial"/>
              </w:rPr>
              <w:t>14 (46.7)</w:t>
            </w:r>
          </w:p>
          <w:p w14:paraId="07259452" w14:textId="77777777" w:rsidR="000877CD" w:rsidRPr="003939A7" w:rsidRDefault="006D5EA4" w:rsidP="0097067C">
            <w:pPr>
              <w:rPr>
                <w:rFonts w:cs="Arial"/>
              </w:rPr>
            </w:pPr>
            <w:r w:rsidRPr="003939A7">
              <w:rPr>
                <w:rFonts w:cs="Arial"/>
              </w:rPr>
              <w:t>16 (53.3)</w:t>
            </w:r>
          </w:p>
        </w:tc>
        <w:tc>
          <w:tcPr>
            <w:tcW w:w="2046" w:type="dxa"/>
          </w:tcPr>
          <w:p w14:paraId="47B7BF9E" w14:textId="77777777" w:rsidR="000877CD" w:rsidRPr="003939A7" w:rsidRDefault="000877CD" w:rsidP="0097067C">
            <w:pPr>
              <w:rPr>
                <w:rFonts w:cs="Arial"/>
              </w:rPr>
            </w:pPr>
          </w:p>
          <w:p w14:paraId="6F3EE238" w14:textId="77777777" w:rsidR="00A87AAA" w:rsidRPr="003939A7" w:rsidRDefault="00C5426C" w:rsidP="0097067C">
            <w:pPr>
              <w:rPr>
                <w:rFonts w:cs="Arial"/>
              </w:rPr>
            </w:pPr>
            <w:r w:rsidRPr="003939A7">
              <w:rPr>
                <w:rFonts w:cs="Arial"/>
              </w:rPr>
              <w:t>13 (76.5)</w:t>
            </w:r>
          </w:p>
          <w:p w14:paraId="5A7965AB" w14:textId="77777777" w:rsidR="00A87AAA" w:rsidRPr="003939A7" w:rsidRDefault="00C5426C" w:rsidP="0097067C">
            <w:pPr>
              <w:rPr>
                <w:rFonts w:cs="Arial"/>
              </w:rPr>
            </w:pPr>
            <w:r w:rsidRPr="003939A7">
              <w:rPr>
                <w:rFonts w:cs="Arial"/>
              </w:rPr>
              <w:t>4 (23.5)</w:t>
            </w:r>
          </w:p>
        </w:tc>
      </w:tr>
      <w:tr w:rsidR="00780864" w:rsidRPr="003939A7" w14:paraId="75CBA572" w14:textId="77777777" w:rsidTr="00200572">
        <w:tc>
          <w:tcPr>
            <w:tcW w:w="2518" w:type="dxa"/>
          </w:tcPr>
          <w:p w14:paraId="34CBD0F8" w14:textId="77777777" w:rsidR="000877CD" w:rsidRPr="003939A7" w:rsidRDefault="000D6BFD" w:rsidP="0097067C">
            <w:pPr>
              <w:rPr>
                <w:rFonts w:cs="Arial"/>
              </w:rPr>
            </w:pPr>
            <w:r w:rsidRPr="003939A7">
              <w:rPr>
                <w:rFonts w:cs="Arial"/>
              </w:rPr>
              <w:t>Group</w:t>
            </w:r>
            <w:r w:rsidR="0089787E" w:rsidRPr="003939A7">
              <w:rPr>
                <w:rFonts w:cs="Arial"/>
              </w:rPr>
              <w:t>, Number</w:t>
            </w:r>
            <w:r w:rsidR="007F17D5" w:rsidRPr="003939A7">
              <w:rPr>
                <w:rFonts w:cs="Arial"/>
              </w:rPr>
              <w:t xml:space="preserve"> (%)</w:t>
            </w:r>
          </w:p>
          <w:p w14:paraId="0A1C7B0F" w14:textId="77777777" w:rsidR="000D6BFD" w:rsidRPr="003939A7" w:rsidRDefault="00F47575" w:rsidP="0097067C">
            <w:pPr>
              <w:rPr>
                <w:rFonts w:cs="Arial"/>
              </w:rPr>
            </w:pPr>
            <w:r w:rsidRPr="003939A7">
              <w:rPr>
                <w:rFonts w:cs="Arial"/>
              </w:rPr>
              <w:t>One</w:t>
            </w:r>
          </w:p>
          <w:p w14:paraId="01A9B470" w14:textId="77777777" w:rsidR="00F47575" w:rsidRPr="003939A7" w:rsidRDefault="00F47575" w:rsidP="0097067C">
            <w:pPr>
              <w:rPr>
                <w:rFonts w:cs="Arial"/>
              </w:rPr>
            </w:pPr>
            <w:r w:rsidRPr="003939A7">
              <w:rPr>
                <w:rFonts w:cs="Arial"/>
              </w:rPr>
              <w:t>Two</w:t>
            </w:r>
          </w:p>
          <w:p w14:paraId="667BD2D3" w14:textId="77777777" w:rsidR="00F47575" w:rsidRPr="003939A7" w:rsidRDefault="00F47575" w:rsidP="0097067C">
            <w:pPr>
              <w:rPr>
                <w:rFonts w:cs="Arial"/>
              </w:rPr>
            </w:pPr>
            <w:r w:rsidRPr="003939A7">
              <w:rPr>
                <w:rFonts w:cs="Arial"/>
              </w:rPr>
              <w:t>Three</w:t>
            </w:r>
          </w:p>
        </w:tc>
        <w:tc>
          <w:tcPr>
            <w:tcW w:w="1418" w:type="dxa"/>
          </w:tcPr>
          <w:p w14:paraId="3753D3F4" w14:textId="77777777" w:rsidR="000877CD" w:rsidRPr="003939A7" w:rsidRDefault="000877CD" w:rsidP="0097067C">
            <w:pPr>
              <w:rPr>
                <w:rFonts w:cs="Arial"/>
              </w:rPr>
            </w:pPr>
          </w:p>
          <w:p w14:paraId="25F6FAC7" w14:textId="77777777" w:rsidR="006D5EA4" w:rsidRPr="003939A7" w:rsidRDefault="006D5EA4" w:rsidP="0097067C">
            <w:pPr>
              <w:rPr>
                <w:rFonts w:cs="Arial"/>
              </w:rPr>
            </w:pPr>
            <w:r w:rsidRPr="003939A7">
              <w:rPr>
                <w:rFonts w:cs="Arial"/>
              </w:rPr>
              <w:t>13</w:t>
            </w:r>
            <w:r w:rsidR="00BE0811" w:rsidRPr="003939A7">
              <w:rPr>
                <w:rFonts w:cs="Arial"/>
              </w:rPr>
              <w:t xml:space="preserve"> </w:t>
            </w:r>
            <w:r w:rsidR="007F17D5" w:rsidRPr="003939A7">
              <w:rPr>
                <w:rFonts w:cs="Arial"/>
              </w:rPr>
              <w:t>(39.4)</w:t>
            </w:r>
          </w:p>
          <w:p w14:paraId="0EFF748B" w14:textId="77777777" w:rsidR="006D5EA4" w:rsidRPr="003939A7" w:rsidRDefault="006D5EA4" w:rsidP="0097067C">
            <w:pPr>
              <w:rPr>
                <w:rFonts w:cs="Arial"/>
              </w:rPr>
            </w:pPr>
            <w:r w:rsidRPr="003939A7">
              <w:rPr>
                <w:rFonts w:cs="Arial"/>
              </w:rPr>
              <w:t>10</w:t>
            </w:r>
            <w:r w:rsidR="00A803EC" w:rsidRPr="003939A7">
              <w:rPr>
                <w:rFonts w:cs="Arial"/>
              </w:rPr>
              <w:t xml:space="preserve"> (</w:t>
            </w:r>
            <w:r w:rsidR="00A37F00" w:rsidRPr="003939A7">
              <w:rPr>
                <w:rFonts w:cs="Arial"/>
              </w:rPr>
              <w:t>30.3</w:t>
            </w:r>
            <w:r w:rsidR="00A803EC" w:rsidRPr="003939A7">
              <w:rPr>
                <w:rFonts w:cs="Arial"/>
              </w:rPr>
              <w:t>)</w:t>
            </w:r>
          </w:p>
          <w:p w14:paraId="7926C093" w14:textId="77777777" w:rsidR="006D5EA4" w:rsidRPr="003939A7" w:rsidRDefault="006D5EA4" w:rsidP="0097067C">
            <w:pPr>
              <w:rPr>
                <w:rFonts w:cs="Arial"/>
              </w:rPr>
            </w:pPr>
            <w:r w:rsidRPr="003939A7">
              <w:rPr>
                <w:rFonts w:cs="Arial"/>
              </w:rPr>
              <w:t>12</w:t>
            </w:r>
            <w:r w:rsidR="000040FE" w:rsidRPr="003939A7">
              <w:rPr>
                <w:rFonts w:cs="Arial"/>
              </w:rPr>
              <w:t xml:space="preserve"> (36.36)</w:t>
            </w:r>
          </w:p>
        </w:tc>
        <w:tc>
          <w:tcPr>
            <w:tcW w:w="1559" w:type="dxa"/>
          </w:tcPr>
          <w:p w14:paraId="5EB6BD90" w14:textId="77777777" w:rsidR="000877CD" w:rsidRPr="003939A7" w:rsidRDefault="000877CD" w:rsidP="0097067C">
            <w:pPr>
              <w:rPr>
                <w:rFonts w:cs="Arial"/>
              </w:rPr>
            </w:pPr>
          </w:p>
          <w:p w14:paraId="23932863" w14:textId="77777777" w:rsidR="006D5EA4" w:rsidRPr="003939A7" w:rsidRDefault="006D5EA4" w:rsidP="0097067C">
            <w:pPr>
              <w:rPr>
                <w:rFonts w:cs="Arial"/>
              </w:rPr>
            </w:pPr>
            <w:r w:rsidRPr="003939A7">
              <w:rPr>
                <w:rFonts w:cs="Arial"/>
              </w:rPr>
              <w:t>10</w:t>
            </w:r>
            <w:r w:rsidR="00910210" w:rsidRPr="003939A7">
              <w:rPr>
                <w:rFonts w:cs="Arial"/>
              </w:rPr>
              <w:t xml:space="preserve"> (28.57)</w:t>
            </w:r>
          </w:p>
          <w:p w14:paraId="5F812718" w14:textId="77777777" w:rsidR="006D5EA4" w:rsidRPr="003939A7" w:rsidRDefault="006D5EA4" w:rsidP="0097067C">
            <w:pPr>
              <w:rPr>
                <w:rFonts w:cs="Arial"/>
              </w:rPr>
            </w:pPr>
            <w:r w:rsidRPr="003939A7">
              <w:rPr>
                <w:rFonts w:cs="Arial"/>
              </w:rPr>
              <w:t>9</w:t>
            </w:r>
            <w:r w:rsidR="00A37F00" w:rsidRPr="003939A7">
              <w:rPr>
                <w:rFonts w:cs="Arial"/>
              </w:rPr>
              <w:t xml:space="preserve"> </w:t>
            </w:r>
            <w:r w:rsidR="00BE0811" w:rsidRPr="003939A7">
              <w:rPr>
                <w:rFonts w:cs="Arial"/>
              </w:rPr>
              <w:t xml:space="preserve">  </w:t>
            </w:r>
            <w:r w:rsidR="00A37F00" w:rsidRPr="003939A7">
              <w:rPr>
                <w:rFonts w:cs="Arial"/>
              </w:rPr>
              <w:t>(</w:t>
            </w:r>
            <w:r w:rsidR="00DD4B3E" w:rsidRPr="003939A7">
              <w:rPr>
                <w:rFonts w:cs="Arial"/>
              </w:rPr>
              <w:t>25.71)</w:t>
            </w:r>
          </w:p>
          <w:p w14:paraId="78C5A858" w14:textId="77777777" w:rsidR="006D5EA4" w:rsidRPr="003939A7" w:rsidRDefault="006D5EA4" w:rsidP="0097067C">
            <w:pPr>
              <w:rPr>
                <w:rFonts w:cs="Arial"/>
              </w:rPr>
            </w:pPr>
            <w:r w:rsidRPr="003939A7">
              <w:rPr>
                <w:rFonts w:cs="Arial"/>
              </w:rPr>
              <w:t>11</w:t>
            </w:r>
            <w:r w:rsidR="000040FE" w:rsidRPr="003939A7">
              <w:rPr>
                <w:rFonts w:cs="Arial"/>
              </w:rPr>
              <w:t xml:space="preserve"> (31.43)</w:t>
            </w:r>
          </w:p>
        </w:tc>
        <w:tc>
          <w:tcPr>
            <w:tcW w:w="1701" w:type="dxa"/>
          </w:tcPr>
          <w:p w14:paraId="51D835FF" w14:textId="77777777" w:rsidR="000877CD" w:rsidRPr="003939A7" w:rsidRDefault="000877CD" w:rsidP="0097067C">
            <w:pPr>
              <w:rPr>
                <w:rFonts w:cs="Arial"/>
              </w:rPr>
            </w:pPr>
          </w:p>
          <w:p w14:paraId="6E9C658E" w14:textId="77777777" w:rsidR="006D5EA4" w:rsidRPr="003939A7" w:rsidRDefault="00586669" w:rsidP="0097067C">
            <w:pPr>
              <w:rPr>
                <w:rFonts w:cs="Arial"/>
              </w:rPr>
            </w:pPr>
            <w:r w:rsidRPr="003939A7">
              <w:rPr>
                <w:rFonts w:cs="Arial"/>
              </w:rPr>
              <w:t>10</w:t>
            </w:r>
            <w:r w:rsidR="003D36C5" w:rsidRPr="003939A7">
              <w:rPr>
                <w:rFonts w:cs="Arial"/>
              </w:rPr>
              <w:t xml:space="preserve"> (28.57)</w:t>
            </w:r>
            <w:r w:rsidRPr="003939A7">
              <w:rPr>
                <w:rFonts w:cs="Arial"/>
              </w:rPr>
              <w:t xml:space="preserve"> </w:t>
            </w:r>
          </w:p>
          <w:p w14:paraId="00F0E456" w14:textId="77777777" w:rsidR="006D5EA4" w:rsidRPr="003939A7" w:rsidRDefault="006D5EA4" w:rsidP="0097067C">
            <w:pPr>
              <w:rPr>
                <w:rFonts w:cs="Arial"/>
              </w:rPr>
            </w:pPr>
            <w:r w:rsidRPr="003939A7">
              <w:rPr>
                <w:rFonts w:cs="Arial"/>
              </w:rPr>
              <w:t>9</w:t>
            </w:r>
            <w:r w:rsidR="00DD4B3E" w:rsidRPr="003939A7">
              <w:rPr>
                <w:rFonts w:cs="Arial"/>
              </w:rPr>
              <w:t xml:space="preserve"> </w:t>
            </w:r>
            <w:r w:rsidR="00BE0811" w:rsidRPr="003939A7">
              <w:rPr>
                <w:rFonts w:cs="Arial"/>
              </w:rPr>
              <w:t xml:space="preserve">  </w:t>
            </w:r>
            <w:r w:rsidR="00DD4B3E" w:rsidRPr="003939A7">
              <w:rPr>
                <w:rFonts w:cs="Arial"/>
              </w:rPr>
              <w:t>(25.71)</w:t>
            </w:r>
          </w:p>
          <w:p w14:paraId="34747283" w14:textId="77777777" w:rsidR="006D5EA4" w:rsidRPr="003939A7" w:rsidRDefault="006D5EA4" w:rsidP="0097067C">
            <w:pPr>
              <w:rPr>
                <w:rFonts w:cs="Arial"/>
              </w:rPr>
            </w:pPr>
            <w:r w:rsidRPr="003939A7">
              <w:rPr>
                <w:rFonts w:cs="Arial"/>
              </w:rPr>
              <w:t>11</w:t>
            </w:r>
            <w:r w:rsidR="000040FE" w:rsidRPr="003939A7">
              <w:rPr>
                <w:rFonts w:cs="Arial"/>
              </w:rPr>
              <w:t xml:space="preserve"> (31.43)</w:t>
            </w:r>
          </w:p>
        </w:tc>
        <w:tc>
          <w:tcPr>
            <w:tcW w:w="2046" w:type="dxa"/>
          </w:tcPr>
          <w:p w14:paraId="7259D910" w14:textId="77777777" w:rsidR="000877CD" w:rsidRPr="003939A7" w:rsidRDefault="000877CD" w:rsidP="0097067C">
            <w:pPr>
              <w:rPr>
                <w:rFonts w:cs="Arial"/>
              </w:rPr>
            </w:pPr>
          </w:p>
          <w:p w14:paraId="7BE93F78" w14:textId="77777777" w:rsidR="006D5EA4" w:rsidRPr="003939A7" w:rsidRDefault="006D5EA4" w:rsidP="0097067C">
            <w:pPr>
              <w:rPr>
                <w:rFonts w:cs="Arial"/>
              </w:rPr>
            </w:pPr>
            <w:r w:rsidRPr="003939A7">
              <w:rPr>
                <w:rFonts w:cs="Arial"/>
              </w:rPr>
              <w:t>7</w:t>
            </w:r>
            <w:r w:rsidR="00A803EC" w:rsidRPr="003939A7">
              <w:rPr>
                <w:rFonts w:cs="Arial"/>
              </w:rPr>
              <w:t xml:space="preserve"> (20)</w:t>
            </w:r>
          </w:p>
          <w:p w14:paraId="3E34E28B" w14:textId="77777777" w:rsidR="006D5EA4" w:rsidRPr="003939A7" w:rsidRDefault="006D5EA4" w:rsidP="0097067C">
            <w:pPr>
              <w:rPr>
                <w:rFonts w:cs="Arial"/>
              </w:rPr>
            </w:pPr>
            <w:r w:rsidRPr="003939A7">
              <w:rPr>
                <w:rFonts w:cs="Arial"/>
              </w:rPr>
              <w:t>5</w:t>
            </w:r>
            <w:r w:rsidR="00DD4B3E" w:rsidRPr="003939A7">
              <w:rPr>
                <w:rFonts w:cs="Arial"/>
              </w:rPr>
              <w:t xml:space="preserve"> (14.28)</w:t>
            </w:r>
          </w:p>
          <w:p w14:paraId="0DE3C365" w14:textId="77777777" w:rsidR="006D5EA4" w:rsidRPr="003939A7" w:rsidRDefault="006D5EA4" w:rsidP="0097067C">
            <w:pPr>
              <w:rPr>
                <w:rFonts w:cs="Arial"/>
              </w:rPr>
            </w:pPr>
            <w:r w:rsidRPr="003939A7">
              <w:rPr>
                <w:rFonts w:cs="Arial"/>
              </w:rPr>
              <w:t>5</w:t>
            </w:r>
            <w:r w:rsidR="000040FE" w:rsidRPr="003939A7">
              <w:rPr>
                <w:rFonts w:cs="Arial"/>
              </w:rPr>
              <w:t xml:space="preserve"> (14.28)</w:t>
            </w:r>
          </w:p>
        </w:tc>
      </w:tr>
    </w:tbl>
    <w:p w14:paraId="2097099E" w14:textId="77777777" w:rsidR="0097067C" w:rsidRPr="003939A7" w:rsidRDefault="0097067C" w:rsidP="00876312">
      <w:pPr>
        <w:spacing w:after="0" w:line="360" w:lineRule="auto"/>
        <w:jc w:val="both"/>
        <w:rPr>
          <w:rFonts w:cs="Arial"/>
        </w:rPr>
      </w:pPr>
    </w:p>
    <w:p w14:paraId="5D58A7F9" w14:textId="20C34E5D" w:rsidR="00D50F71" w:rsidRPr="003939A7" w:rsidRDefault="00D50F71" w:rsidP="00DD0660">
      <w:pPr>
        <w:spacing w:after="0" w:line="360" w:lineRule="auto"/>
        <w:jc w:val="both"/>
        <w:rPr>
          <w:rFonts w:cs="Arial"/>
        </w:rPr>
      </w:pPr>
      <w:r w:rsidRPr="003939A7">
        <w:rPr>
          <w:rFonts w:cs="Arial"/>
        </w:rPr>
        <w:t xml:space="preserve">Figure </w:t>
      </w:r>
      <w:r w:rsidR="00C63E6F" w:rsidRPr="003939A7">
        <w:rPr>
          <w:rFonts w:cs="Arial"/>
        </w:rPr>
        <w:t xml:space="preserve">3 </w:t>
      </w:r>
      <w:r w:rsidRPr="003939A7">
        <w:rPr>
          <w:rFonts w:cs="Arial"/>
        </w:rPr>
        <w:t>shows</w:t>
      </w:r>
      <w:r w:rsidR="00D54778" w:rsidRPr="003939A7">
        <w:rPr>
          <w:rFonts w:cs="Arial"/>
        </w:rPr>
        <w:t xml:space="preserve"> </w:t>
      </w:r>
      <w:r w:rsidR="00EA4985" w:rsidRPr="003939A7">
        <w:rPr>
          <w:rFonts w:cs="Arial"/>
        </w:rPr>
        <w:t xml:space="preserve">the </w:t>
      </w:r>
      <w:r w:rsidR="000D1C31" w:rsidRPr="003939A7">
        <w:rPr>
          <w:rFonts w:cs="Arial"/>
        </w:rPr>
        <w:t xml:space="preserve">change in median </w:t>
      </w:r>
      <w:r w:rsidRPr="003939A7">
        <w:t xml:space="preserve">SWEMWBS score across the intervention groups </w:t>
      </w:r>
      <w:r w:rsidR="00075AB6" w:rsidRPr="003939A7">
        <w:t xml:space="preserve">from baseline to </w:t>
      </w:r>
      <w:r w:rsidRPr="003939A7">
        <w:t xml:space="preserve">one-year post </w:t>
      </w:r>
      <w:r w:rsidR="00780864" w:rsidRPr="003939A7">
        <w:t>intervention</w:t>
      </w:r>
      <w:r w:rsidR="00803406" w:rsidRPr="003939A7">
        <w:t xml:space="preserve">. </w:t>
      </w:r>
      <w:r w:rsidR="00EA4985" w:rsidRPr="003939A7">
        <w:rPr>
          <w:rFonts w:cs="Arial"/>
        </w:rPr>
        <w:t xml:space="preserve">At baseline, participants in Group 1 had a higher </w:t>
      </w:r>
      <w:r w:rsidR="00652B09" w:rsidRPr="003939A7">
        <w:rPr>
          <w:rFonts w:cs="Arial"/>
        </w:rPr>
        <w:t xml:space="preserve">median </w:t>
      </w:r>
      <w:r w:rsidR="00EA4985" w:rsidRPr="003939A7">
        <w:rPr>
          <w:rFonts w:cs="Arial"/>
        </w:rPr>
        <w:t xml:space="preserve"> SWEMWBS score in comparison to participants in the two other groups</w:t>
      </w:r>
      <w:r w:rsidR="00BB2D3A" w:rsidRPr="003939A7">
        <w:rPr>
          <w:rFonts w:cs="Arial"/>
        </w:rPr>
        <w:t xml:space="preserve">, </w:t>
      </w:r>
      <w:r w:rsidR="00EA4985" w:rsidRPr="003939A7">
        <w:rPr>
          <w:rFonts w:cs="Arial"/>
        </w:rPr>
        <w:t>and change</w:t>
      </w:r>
      <w:r w:rsidR="00BB2D3A" w:rsidRPr="003939A7">
        <w:rPr>
          <w:rFonts w:cs="Arial"/>
        </w:rPr>
        <w:t>s</w:t>
      </w:r>
      <w:r w:rsidR="00EA4985" w:rsidRPr="003939A7">
        <w:rPr>
          <w:rFonts w:cs="Arial"/>
        </w:rPr>
        <w:t xml:space="preserve"> </w:t>
      </w:r>
      <w:r w:rsidR="00BB2D3A" w:rsidRPr="003939A7">
        <w:rPr>
          <w:rFonts w:cs="Arial"/>
        </w:rPr>
        <w:t xml:space="preserve">in </w:t>
      </w:r>
      <w:r w:rsidR="00EA4985" w:rsidRPr="003939A7">
        <w:rPr>
          <w:rFonts w:cs="Arial"/>
        </w:rPr>
        <w:t>their score</w:t>
      </w:r>
      <w:r w:rsidR="00BB2D3A" w:rsidRPr="003939A7">
        <w:rPr>
          <w:rFonts w:cs="Arial"/>
        </w:rPr>
        <w:t>s</w:t>
      </w:r>
      <w:r w:rsidR="00EA4985" w:rsidRPr="003939A7">
        <w:rPr>
          <w:rFonts w:cs="Arial"/>
        </w:rPr>
        <w:t xml:space="preserve"> from end to one-year post </w:t>
      </w:r>
      <w:r w:rsidR="00780864" w:rsidRPr="003939A7">
        <w:rPr>
          <w:rFonts w:cs="Arial"/>
        </w:rPr>
        <w:t>intervention</w:t>
      </w:r>
      <w:r w:rsidR="00EA4985" w:rsidRPr="003939A7">
        <w:rPr>
          <w:rFonts w:cs="Arial"/>
        </w:rPr>
        <w:t xml:space="preserve"> was quite small</w:t>
      </w:r>
      <w:r w:rsidR="00075AB6" w:rsidRPr="003939A7">
        <w:rPr>
          <w:rFonts w:cs="Arial"/>
        </w:rPr>
        <w:t xml:space="preserve">. Participants in Groups 2 and 3 </w:t>
      </w:r>
      <w:r w:rsidR="00780864" w:rsidRPr="003939A7">
        <w:rPr>
          <w:rFonts w:cs="Arial"/>
        </w:rPr>
        <w:t xml:space="preserve">had </w:t>
      </w:r>
      <w:r w:rsidR="00075AB6" w:rsidRPr="003939A7">
        <w:rPr>
          <w:rFonts w:cs="Arial"/>
        </w:rPr>
        <w:t xml:space="preserve">higher </w:t>
      </w:r>
      <w:r w:rsidR="00652B09" w:rsidRPr="003939A7">
        <w:rPr>
          <w:rFonts w:cs="Arial"/>
        </w:rPr>
        <w:t xml:space="preserve">median </w:t>
      </w:r>
      <w:r w:rsidR="00780864" w:rsidRPr="003939A7">
        <w:rPr>
          <w:rFonts w:cs="Arial"/>
        </w:rPr>
        <w:t>SWEMWBS scores in</w:t>
      </w:r>
      <w:r w:rsidR="00075AB6" w:rsidRPr="003939A7">
        <w:rPr>
          <w:rFonts w:cs="Arial"/>
        </w:rPr>
        <w:t xml:space="preserve"> the middle and end of </w:t>
      </w:r>
      <w:r w:rsidR="00780864" w:rsidRPr="003939A7">
        <w:rPr>
          <w:rFonts w:cs="Arial"/>
        </w:rPr>
        <w:t>intervention</w:t>
      </w:r>
      <w:r w:rsidR="00075AB6" w:rsidRPr="003939A7">
        <w:rPr>
          <w:rFonts w:cs="Arial"/>
        </w:rPr>
        <w:t xml:space="preserve"> assessments</w:t>
      </w:r>
      <w:r w:rsidR="00780864" w:rsidRPr="003939A7">
        <w:rPr>
          <w:rFonts w:cs="Arial"/>
        </w:rPr>
        <w:t xml:space="preserve">. Looking at the </w:t>
      </w:r>
      <w:r w:rsidR="00652B09" w:rsidRPr="003939A7">
        <w:rPr>
          <w:rFonts w:cs="Arial"/>
        </w:rPr>
        <w:t xml:space="preserve">median </w:t>
      </w:r>
      <w:r w:rsidR="00780864" w:rsidRPr="003939A7">
        <w:rPr>
          <w:rFonts w:cs="Arial"/>
        </w:rPr>
        <w:t xml:space="preserve"> score one</w:t>
      </w:r>
      <w:r w:rsidR="00BB2D3A" w:rsidRPr="003939A7">
        <w:rPr>
          <w:rFonts w:cs="Arial"/>
        </w:rPr>
        <w:t>-</w:t>
      </w:r>
      <w:r w:rsidR="00780864" w:rsidRPr="003939A7">
        <w:rPr>
          <w:rFonts w:cs="Arial"/>
        </w:rPr>
        <w:t xml:space="preserve">year post intervention, </w:t>
      </w:r>
      <w:r w:rsidR="00BB2D3A" w:rsidRPr="003939A7">
        <w:rPr>
          <w:rFonts w:cs="Arial"/>
        </w:rPr>
        <w:t>G</w:t>
      </w:r>
      <w:r w:rsidR="00780864" w:rsidRPr="003939A7">
        <w:rPr>
          <w:rFonts w:cs="Arial"/>
        </w:rPr>
        <w:t>roup 3 improve</w:t>
      </w:r>
      <w:r w:rsidR="00BB2D3A" w:rsidRPr="003939A7">
        <w:rPr>
          <w:rFonts w:cs="Arial"/>
        </w:rPr>
        <w:t>d</w:t>
      </w:r>
      <w:r w:rsidR="00780864" w:rsidRPr="003939A7">
        <w:rPr>
          <w:rFonts w:cs="Arial"/>
        </w:rPr>
        <w:t xml:space="preserve"> their </w:t>
      </w:r>
      <w:r w:rsidR="00652B09" w:rsidRPr="003939A7">
        <w:rPr>
          <w:rFonts w:cs="Arial"/>
        </w:rPr>
        <w:t xml:space="preserve">median </w:t>
      </w:r>
      <w:r w:rsidR="00780864" w:rsidRPr="003939A7">
        <w:rPr>
          <w:rFonts w:cs="Arial"/>
        </w:rPr>
        <w:t xml:space="preserve"> scores, whilst </w:t>
      </w:r>
      <w:r w:rsidR="00BB2D3A" w:rsidRPr="003939A7">
        <w:rPr>
          <w:rFonts w:cs="Arial"/>
        </w:rPr>
        <w:t>G</w:t>
      </w:r>
      <w:r w:rsidR="00780864" w:rsidRPr="003939A7">
        <w:rPr>
          <w:rFonts w:cs="Arial"/>
        </w:rPr>
        <w:t xml:space="preserve">roup 2 </w:t>
      </w:r>
      <w:r w:rsidR="00652B09" w:rsidRPr="003939A7">
        <w:rPr>
          <w:rFonts w:cs="Arial"/>
        </w:rPr>
        <w:t xml:space="preserve">median </w:t>
      </w:r>
      <w:r w:rsidR="00780864" w:rsidRPr="003939A7">
        <w:rPr>
          <w:rFonts w:cs="Arial"/>
        </w:rPr>
        <w:t xml:space="preserve"> sc</w:t>
      </w:r>
      <w:r w:rsidR="000E3ACE" w:rsidRPr="003939A7">
        <w:rPr>
          <w:rFonts w:cs="Arial"/>
        </w:rPr>
        <w:t>o</w:t>
      </w:r>
      <w:r w:rsidR="00780864" w:rsidRPr="003939A7">
        <w:rPr>
          <w:rFonts w:cs="Arial"/>
        </w:rPr>
        <w:t>res reduced slightly</w:t>
      </w:r>
      <w:r w:rsidR="000E3ACE" w:rsidRPr="003939A7">
        <w:rPr>
          <w:rFonts w:cs="Arial"/>
        </w:rPr>
        <w:t xml:space="preserve"> from their end of intervention score</w:t>
      </w:r>
      <w:r w:rsidR="00780864" w:rsidRPr="003939A7">
        <w:rPr>
          <w:rFonts w:cs="Arial"/>
        </w:rPr>
        <w:t>. However</w:t>
      </w:r>
      <w:r w:rsidR="00BB2D3A" w:rsidRPr="003939A7">
        <w:rPr>
          <w:rFonts w:cs="Arial"/>
        </w:rPr>
        <w:t>,</w:t>
      </w:r>
      <w:r w:rsidR="00780864" w:rsidRPr="003939A7">
        <w:rPr>
          <w:rFonts w:cs="Arial"/>
        </w:rPr>
        <w:t xml:space="preserve"> both </w:t>
      </w:r>
      <w:r w:rsidR="00BB2D3A" w:rsidRPr="003939A7">
        <w:rPr>
          <w:rFonts w:cs="Arial"/>
        </w:rPr>
        <w:t>G</w:t>
      </w:r>
      <w:r w:rsidR="00780864" w:rsidRPr="003939A7">
        <w:rPr>
          <w:rFonts w:cs="Arial"/>
        </w:rPr>
        <w:t xml:space="preserve">roups 2 and 3 </w:t>
      </w:r>
      <w:r w:rsidR="00BB2D3A" w:rsidRPr="003939A7">
        <w:rPr>
          <w:rFonts w:cs="Arial"/>
        </w:rPr>
        <w:t>one-</w:t>
      </w:r>
      <w:r w:rsidR="00780864" w:rsidRPr="003939A7">
        <w:rPr>
          <w:rFonts w:cs="Arial"/>
        </w:rPr>
        <w:t xml:space="preserve">year </w:t>
      </w:r>
      <w:r w:rsidR="000E3ACE" w:rsidRPr="003939A7">
        <w:rPr>
          <w:rFonts w:cs="Arial"/>
        </w:rPr>
        <w:t>post</w:t>
      </w:r>
      <w:r w:rsidR="00780864" w:rsidRPr="003939A7">
        <w:rPr>
          <w:rFonts w:cs="Arial"/>
        </w:rPr>
        <w:t xml:space="preserve"> intervention </w:t>
      </w:r>
      <w:r w:rsidR="00652B09" w:rsidRPr="003939A7">
        <w:rPr>
          <w:rFonts w:cs="Arial"/>
        </w:rPr>
        <w:t xml:space="preserve">median </w:t>
      </w:r>
      <w:r w:rsidR="00780864" w:rsidRPr="003939A7">
        <w:rPr>
          <w:rFonts w:cs="Arial"/>
        </w:rPr>
        <w:t>scores were improved from their baseline assessments</w:t>
      </w:r>
      <w:r w:rsidR="00075AB6" w:rsidRPr="003939A7">
        <w:rPr>
          <w:rFonts w:cs="Arial"/>
        </w:rPr>
        <w:t xml:space="preserve">. </w:t>
      </w:r>
      <w:r w:rsidR="000E3ACE" w:rsidRPr="003939A7">
        <w:rPr>
          <w:rFonts w:cs="Arial"/>
        </w:rPr>
        <w:t xml:space="preserve">The distribution of SWEMWBS </w:t>
      </w:r>
      <w:r w:rsidR="00652B09" w:rsidRPr="003939A7">
        <w:rPr>
          <w:rFonts w:cs="Arial"/>
        </w:rPr>
        <w:t xml:space="preserve">median </w:t>
      </w:r>
      <w:r w:rsidR="000E3ACE" w:rsidRPr="003939A7">
        <w:rPr>
          <w:rFonts w:cs="Arial"/>
        </w:rPr>
        <w:t>score</w:t>
      </w:r>
      <w:r w:rsidR="00BB2D3A" w:rsidRPr="003939A7">
        <w:rPr>
          <w:rFonts w:cs="Arial"/>
        </w:rPr>
        <w:t>s</w:t>
      </w:r>
      <w:r w:rsidR="000E3ACE" w:rsidRPr="003939A7">
        <w:rPr>
          <w:rFonts w:cs="Arial"/>
        </w:rPr>
        <w:t xml:space="preserve"> between male and female participants across the study time points </w:t>
      </w:r>
      <w:r w:rsidR="00DD0660" w:rsidRPr="003939A7">
        <w:rPr>
          <w:rFonts w:cs="Arial"/>
        </w:rPr>
        <w:t>was fairly</w:t>
      </w:r>
      <w:r w:rsidR="000E3ACE" w:rsidRPr="003939A7">
        <w:rPr>
          <w:rFonts w:cs="Arial"/>
        </w:rPr>
        <w:t xml:space="preserve"> similar (results not shown).</w:t>
      </w:r>
    </w:p>
    <w:p w14:paraId="1434F673" w14:textId="77777777" w:rsidR="00DD0660" w:rsidRPr="003939A7" w:rsidRDefault="00DD0660" w:rsidP="00DD0660">
      <w:pPr>
        <w:spacing w:after="0" w:line="360" w:lineRule="auto"/>
        <w:jc w:val="center"/>
        <w:rPr>
          <w:rFonts w:cs="Arial"/>
        </w:rPr>
      </w:pPr>
    </w:p>
    <w:p w14:paraId="2D30D06D" w14:textId="77777777" w:rsidR="00BE0811" w:rsidRPr="003939A7" w:rsidRDefault="00BE0811" w:rsidP="00BE0811">
      <w:pPr>
        <w:spacing w:after="0" w:line="360" w:lineRule="auto"/>
        <w:jc w:val="both"/>
        <w:rPr>
          <w:rFonts w:cs="Arial"/>
        </w:rPr>
      </w:pPr>
    </w:p>
    <w:p w14:paraId="44B8BEB0" w14:textId="58DFAD48" w:rsidR="000E3ACE" w:rsidRPr="003939A7" w:rsidRDefault="000E3ACE" w:rsidP="000E3ACE">
      <w:pPr>
        <w:keepNext/>
      </w:pPr>
    </w:p>
    <w:p w14:paraId="45BC4616" w14:textId="77777777" w:rsidR="005D1B28" w:rsidRPr="003939A7" w:rsidRDefault="005D1B28" w:rsidP="00E023A4">
      <w:pPr>
        <w:pStyle w:val="Caption"/>
      </w:pPr>
    </w:p>
    <w:p w14:paraId="62D98D76" w14:textId="74CE064C" w:rsidR="005D1B28" w:rsidRPr="003939A7" w:rsidRDefault="005D1B28" w:rsidP="00E023A4">
      <w:pPr>
        <w:pStyle w:val="Caption"/>
      </w:pPr>
      <w:r w:rsidRPr="003939A7">
        <w:rPr>
          <w:noProof/>
          <w:lang w:eastAsia="en-GB"/>
        </w:rPr>
        <w:lastRenderedPageBreak/>
        <w:drawing>
          <wp:inline distT="0" distB="0" distL="0" distR="0" wp14:anchorId="54CD0260" wp14:editId="1C3E796A">
            <wp:extent cx="3485408" cy="2095107"/>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8808" cy="2097151"/>
                    </a:xfrm>
                    <a:prstGeom prst="rect">
                      <a:avLst/>
                    </a:prstGeom>
                    <a:noFill/>
                  </pic:spPr>
                </pic:pic>
              </a:graphicData>
            </a:graphic>
          </wp:inline>
        </w:drawing>
      </w:r>
    </w:p>
    <w:p w14:paraId="7E783EA6" w14:textId="7FA1FC41" w:rsidR="00EF3AE6" w:rsidRPr="003939A7" w:rsidRDefault="000E3ACE" w:rsidP="00E023A4">
      <w:pPr>
        <w:pStyle w:val="Caption"/>
        <w:rPr>
          <w:rFonts w:ascii="Arial" w:hAnsi="Arial" w:cs="Arial"/>
        </w:rPr>
      </w:pPr>
      <w:r w:rsidRPr="003939A7">
        <w:t xml:space="preserve">Figure </w:t>
      </w:r>
      <w:r w:rsidR="00C63E6F" w:rsidRPr="003939A7">
        <w:t>3</w:t>
      </w:r>
      <w:r w:rsidRPr="003939A7">
        <w:t>. Median SWEMWBS score in the study groups across the study time points</w:t>
      </w:r>
    </w:p>
    <w:p w14:paraId="660868E7" w14:textId="77777777" w:rsidR="00541D12" w:rsidRPr="003939A7" w:rsidRDefault="00541D12" w:rsidP="00876312">
      <w:pPr>
        <w:spacing w:after="0" w:line="360" w:lineRule="auto"/>
        <w:jc w:val="both"/>
        <w:rPr>
          <w:rFonts w:cs="Arial"/>
          <w:color w:val="FF0000"/>
        </w:rPr>
      </w:pPr>
    </w:p>
    <w:p w14:paraId="6BAD56D5" w14:textId="3EFB4D48" w:rsidR="00E70E70" w:rsidRPr="003939A7" w:rsidRDefault="00DE1DA7" w:rsidP="00CF0918">
      <w:pPr>
        <w:spacing w:after="0" w:line="360" w:lineRule="auto"/>
        <w:jc w:val="both"/>
        <w:rPr>
          <w:rFonts w:cs="Arial"/>
        </w:rPr>
      </w:pPr>
      <w:r w:rsidRPr="003939A7">
        <w:rPr>
          <w:rFonts w:cs="Arial"/>
        </w:rPr>
        <w:t>Change</w:t>
      </w:r>
      <w:r w:rsidR="0077514A" w:rsidRPr="003939A7">
        <w:rPr>
          <w:rFonts w:cs="Arial"/>
        </w:rPr>
        <w:t>s</w:t>
      </w:r>
      <w:r w:rsidRPr="003939A7">
        <w:rPr>
          <w:rFonts w:cs="Arial"/>
        </w:rPr>
        <w:t xml:space="preserve"> of score </w:t>
      </w:r>
      <w:r w:rsidR="00132BD0" w:rsidRPr="003939A7">
        <w:rPr>
          <w:rFonts w:cs="Arial"/>
        </w:rPr>
        <w:t xml:space="preserve">in SWEMWBS </w:t>
      </w:r>
      <w:r w:rsidRPr="003939A7">
        <w:rPr>
          <w:rFonts w:cs="Arial"/>
        </w:rPr>
        <w:t>measure</w:t>
      </w:r>
      <w:r w:rsidR="0077514A" w:rsidRPr="003939A7">
        <w:rPr>
          <w:rFonts w:cs="Arial"/>
        </w:rPr>
        <w:t>s</w:t>
      </w:r>
      <w:r w:rsidR="00132BD0" w:rsidRPr="003939A7">
        <w:rPr>
          <w:rFonts w:cs="Arial"/>
        </w:rPr>
        <w:t xml:space="preserve"> within </w:t>
      </w:r>
      <w:r w:rsidR="004D3BBC" w:rsidRPr="003939A7">
        <w:rPr>
          <w:rFonts w:cs="Arial"/>
        </w:rPr>
        <w:t xml:space="preserve">the </w:t>
      </w:r>
      <w:r w:rsidR="00132BD0" w:rsidRPr="003939A7">
        <w:rPr>
          <w:rFonts w:cs="Arial"/>
        </w:rPr>
        <w:t>group</w:t>
      </w:r>
      <w:r w:rsidR="004D3BBC" w:rsidRPr="003939A7">
        <w:rPr>
          <w:rFonts w:cs="Arial"/>
        </w:rPr>
        <w:t>s</w:t>
      </w:r>
      <w:r w:rsidR="00132BD0" w:rsidRPr="003939A7">
        <w:rPr>
          <w:rFonts w:cs="Arial"/>
        </w:rPr>
        <w:t xml:space="preserve"> </w:t>
      </w:r>
      <w:r w:rsidR="00AC6874" w:rsidRPr="003939A7">
        <w:rPr>
          <w:rFonts w:cs="Arial"/>
        </w:rPr>
        <w:t xml:space="preserve">from baseline to </w:t>
      </w:r>
      <w:r w:rsidR="00E5366A" w:rsidRPr="003939A7">
        <w:rPr>
          <w:rFonts w:cs="Arial"/>
        </w:rPr>
        <w:t>different study time points</w:t>
      </w:r>
      <w:r w:rsidR="00AC6874" w:rsidRPr="003939A7">
        <w:rPr>
          <w:rFonts w:cs="Arial"/>
        </w:rPr>
        <w:t xml:space="preserve"> was assessed using </w:t>
      </w:r>
      <w:r w:rsidR="00291EE7" w:rsidRPr="003939A7">
        <w:rPr>
          <w:rFonts w:cs="Arial"/>
        </w:rPr>
        <w:t>Wilcoxon signed-rank</w:t>
      </w:r>
      <w:r w:rsidR="00291EE7" w:rsidRPr="003939A7" w:rsidDel="00291EE7">
        <w:rPr>
          <w:rFonts w:cs="Arial"/>
        </w:rPr>
        <w:t xml:space="preserve"> </w:t>
      </w:r>
      <w:r w:rsidR="00291EE7" w:rsidRPr="003939A7">
        <w:rPr>
          <w:rFonts w:cs="Arial"/>
        </w:rPr>
        <w:t xml:space="preserve">test </w:t>
      </w:r>
      <w:r w:rsidR="0072560F" w:rsidRPr="003939A7">
        <w:rPr>
          <w:rFonts w:cs="Arial"/>
        </w:rPr>
        <w:t xml:space="preserve">(Table </w:t>
      </w:r>
      <w:r w:rsidR="004D3BBC" w:rsidRPr="003939A7">
        <w:rPr>
          <w:rFonts w:cs="Arial"/>
        </w:rPr>
        <w:t>2</w:t>
      </w:r>
      <w:r w:rsidR="0072560F" w:rsidRPr="003939A7">
        <w:rPr>
          <w:rFonts w:cs="Arial"/>
        </w:rPr>
        <w:t>)</w:t>
      </w:r>
      <w:r w:rsidR="00C149B7" w:rsidRPr="003939A7">
        <w:rPr>
          <w:rFonts w:cs="Arial"/>
        </w:rPr>
        <w:t>.</w:t>
      </w:r>
      <w:r w:rsidR="007E1886" w:rsidRPr="003939A7">
        <w:rPr>
          <w:rFonts w:cs="Arial"/>
        </w:rPr>
        <w:t xml:space="preserve"> </w:t>
      </w:r>
      <w:r w:rsidR="003A7C1D" w:rsidRPr="003939A7">
        <w:rPr>
          <w:rFonts w:cs="Arial"/>
        </w:rPr>
        <w:t xml:space="preserve"> The results of </w:t>
      </w:r>
      <w:r w:rsidR="00151894" w:rsidRPr="003939A7">
        <w:rPr>
          <w:rFonts w:cs="Arial"/>
        </w:rPr>
        <w:t>the</w:t>
      </w:r>
      <w:r w:rsidR="003A7C1D" w:rsidRPr="003939A7">
        <w:rPr>
          <w:rFonts w:cs="Arial"/>
        </w:rPr>
        <w:t xml:space="preserve"> test showed that there </w:t>
      </w:r>
      <w:r w:rsidR="0077514A" w:rsidRPr="003939A7">
        <w:rPr>
          <w:rFonts w:cs="Arial"/>
        </w:rPr>
        <w:t>were</w:t>
      </w:r>
      <w:r w:rsidR="003A7C1D" w:rsidRPr="003939A7">
        <w:rPr>
          <w:rFonts w:cs="Arial"/>
        </w:rPr>
        <w:t xml:space="preserve"> significant improvements in the median SWEMWBS score </w:t>
      </w:r>
      <w:r w:rsidR="00DE7FF6" w:rsidRPr="003939A7">
        <w:rPr>
          <w:rFonts w:cs="Arial"/>
        </w:rPr>
        <w:t xml:space="preserve">in the study sample </w:t>
      </w:r>
      <w:r w:rsidR="003A7C1D" w:rsidRPr="003939A7">
        <w:rPr>
          <w:rFonts w:cs="Arial"/>
        </w:rPr>
        <w:t>from baseline to middle (</w:t>
      </w:r>
      <w:r w:rsidR="00043E46" w:rsidRPr="003939A7">
        <w:rPr>
          <w:rFonts w:cs="Arial"/>
        </w:rPr>
        <w:t xml:space="preserve">z=-2.57, </w:t>
      </w:r>
      <w:r w:rsidR="003A7C1D" w:rsidRPr="003939A7">
        <w:rPr>
          <w:rFonts w:cs="Arial"/>
        </w:rPr>
        <w:t xml:space="preserve">p=0.01), end of </w:t>
      </w:r>
      <w:r w:rsidR="00780864" w:rsidRPr="003939A7">
        <w:rPr>
          <w:rFonts w:cs="Arial"/>
        </w:rPr>
        <w:t>intervention</w:t>
      </w:r>
      <w:r w:rsidR="003A7C1D" w:rsidRPr="003939A7">
        <w:rPr>
          <w:rFonts w:cs="Arial"/>
        </w:rPr>
        <w:t xml:space="preserve"> (</w:t>
      </w:r>
      <w:r w:rsidR="00043E46" w:rsidRPr="003939A7">
        <w:rPr>
          <w:rFonts w:cs="Arial"/>
        </w:rPr>
        <w:t xml:space="preserve">z=-2.94, </w:t>
      </w:r>
      <w:r w:rsidR="003A7C1D" w:rsidRPr="003939A7">
        <w:rPr>
          <w:rFonts w:cs="Arial"/>
        </w:rPr>
        <w:t xml:space="preserve">p=0.003) and one-year post </w:t>
      </w:r>
      <w:r w:rsidR="00780864" w:rsidRPr="003939A7">
        <w:rPr>
          <w:rFonts w:cs="Arial"/>
        </w:rPr>
        <w:t>intervention</w:t>
      </w:r>
      <w:r w:rsidR="003A7C1D" w:rsidRPr="003939A7">
        <w:rPr>
          <w:rFonts w:cs="Arial"/>
        </w:rPr>
        <w:t xml:space="preserve"> (</w:t>
      </w:r>
      <w:r w:rsidR="00043E46" w:rsidRPr="003939A7">
        <w:rPr>
          <w:rFonts w:cs="Arial"/>
        </w:rPr>
        <w:t xml:space="preserve">z=-2.22, </w:t>
      </w:r>
      <w:r w:rsidR="003A7C1D" w:rsidRPr="003939A7">
        <w:rPr>
          <w:rFonts w:cs="Arial"/>
        </w:rPr>
        <w:t>p=</w:t>
      </w:r>
      <w:r w:rsidR="003E73C0" w:rsidRPr="003939A7">
        <w:rPr>
          <w:rFonts w:cs="Arial"/>
        </w:rPr>
        <w:t xml:space="preserve">0.03). </w:t>
      </w:r>
    </w:p>
    <w:p w14:paraId="73E91F50" w14:textId="77777777" w:rsidR="003E6D93" w:rsidRPr="003939A7" w:rsidRDefault="003E6D93" w:rsidP="008C0E22"/>
    <w:p w14:paraId="51633CAB" w14:textId="77777777" w:rsidR="000E3ACE" w:rsidRPr="003939A7" w:rsidRDefault="000E3ACE" w:rsidP="000E3ACE">
      <w:pPr>
        <w:pStyle w:val="Caption"/>
        <w:keepNext/>
      </w:pPr>
      <w:r w:rsidRPr="003939A7">
        <w:t xml:space="preserve">Table </w:t>
      </w:r>
      <w:r w:rsidR="003939A7" w:rsidRPr="003939A7">
        <w:fldChar w:fldCharType="begin"/>
      </w:r>
      <w:r w:rsidR="003939A7" w:rsidRPr="003939A7">
        <w:instrText xml:space="preserve"> SEQ Table \* ARABIC </w:instrText>
      </w:r>
      <w:r w:rsidR="003939A7" w:rsidRPr="003939A7">
        <w:fldChar w:fldCharType="separate"/>
      </w:r>
      <w:r w:rsidRPr="003939A7">
        <w:rPr>
          <w:noProof/>
        </w:rPr>
        <w:t>2</w:t>
      </w:r>
      <w:r w:rsidR="003939A7" w:rsidRPr="003939A7">
        <w:rPr>
          <w:noProof/>
        </w:rPr>
        <w:fldChar w:fldCharType="end"/>
      </w:r>
      <w:r w:rsidRPr="003939A7">
        <w:t xml:space="preserve"> Change in SWEMWBS score in the intervention groups from baseline to different study time points</w:t>
      </w:r>
    </w:p>
    <w:tbl>
      <w:tblPr>
        <w:tblStyle w:val="TableGrid"/>
        <w:tblW w:w="6771" w:type="dxa"/>
        <w:tblLook w:val="04A0" w:firstRow="1" w:lastRow="0" w:firstColumn="1" w:lastColumn="0" w:noHBand="0" w:noVBand="1"/>
      </w:tblPr>
      <w:tblGrid>
        <w:gridCol w:w="1951"/>
        <w:gridCol w:w="1985"/>
        <w:gridCol w:w="2835"/>
      </w:tblGrid>
      <w:tr w:rsidR="00895935" w:rsidRPr="003939A7" w14:paraId="50DB10B4" w14:textId="77777777" w:rsidTr="00895935">
        <w:tc>
          <w:tcPr>
            <w:tcW w:w="1951" w:type="dxa"/>
          </w:tcPr>
          <w:p w14:paraId="671B48A8" w14:textId="77777777" w:rsidR="00895935" w:rsidRPr="003939A7" w:rsidRDefault="00895935" w:rsidP="00D54778">
            <w:pPr>
              <w:jc w:val="both"/>
              <w:rPr>
                <w:rFonts w:cs="Arial"/>
              </w:rPr>
            </w:pPr>
            <w:r w:rsidRPr="003939A7">
              <w:rPr>
                <w:rFonts w:cs="Arial"/>
              </w:rPr>
              <w:t xml:space="preserve">All </w:t>
            </w:r>
            <w:r w:rsidR="00AF201C" w:rsidRPr="003939A7">
              <w:rPr>
                <w:rFonts w:cs="Arial"/>
              </w:rPr>
              <w:t>g</w:t>
            </w:r>
            <w:r w:rsidRPr="003939A7">
              <w:rPr>
                <w:rFonts w:cs="Arial"/>
              </w:rPr>
              <w:t>roups</w:t>
            </w:r>
          </w:p>
        </w:tc>
        <w:tc>
          <w:tcPr>
            <w:tcW w:w="1985" w:type="dxa"/>
          </w:tcPr>
          <w:p w14:paraId="1CBF3B63" w14:textId="77777777" w:rsidR="00895935" w:rsidRPr="003939A7" w:rsidRDefault="00895935" w:rsidP="00D54778">
            <w:pPr>
              <w:jc w:val="both"/>
              <w:rPr>
                <w:rFonts w:cs="Arial"/>
              </w:rPr>
            </w:pPr>
            <w:r w:rsidRPr="003939A7">
              <w:rPr>
                <w:rFonts w:cs="Arial"/>
              </w:rPr>
              <w:t xml:space="preserve"> Median  </w:t>
            </w:r>
          </w:p>
        </w:tc>
        <w:tc>
          <w:tcPr>
            <w:tcW w:w="2835" w:type="dxa"/>
          </w:tcPr>
          <w:p w14:paraId="6F55FD15" w14:textId="77777777" w:rsidR="00895935" w:rsidRPr="003939A7" w:rsidRDefault="00895935" w:rsidP="00D54778">
            <w:pPr>
              <w:jc w:val="both"/>
              <w:rPr>
                <w:rFonts w:cs="Arial"/>
              </w:rPr>
            </w:pPr>
            <w:r w:rsidRPr="003939A7">
              <w:rPr>
                <w:rFonts w:cs="Arial"/>
              </w:rPr>
              <w:t>Wilcoxon signed-ranks test Z</w:t>
            </w:r>
          </w:p>
        </w:tc>
      </w:tr>
      <w:tr w:rsidR="00895935" w:rsidRPr="003939A7" w14:paraId="098CEF51" w14:textId="77777777" w:rsidTr="00895935">
        <w:tc>
          <w:tcPr>
            <w:tcW w:w="1951" w:type="dxa"/>
          </w:tcPr>
          <w:p w14:paraId="7F1CAFD0" w14:textId="77777777" w:rsidR="00895935" w:rsidRPr="003939A7" w:rsidRDefault="00895935" w:rsidP="00D54778">
            <w:pPr>
              <w:jc w:val="both"/>
              <w:rPr>
                <w:rFonts w:cs="Arial"/>
              </w:rPr>
            </w:pPr>
            <w:r w:rsidRPr="003939A7">
              <w:rPr>
                <w:rFonts w:cs="Arial"/>
              </w:rPr>
              <w:t>Baseline (n=</w:t>
            </w:r>
            <w:r w:rsidR="00BC16EA" w:rsidRPr="003939A7">
              <w:rPr>
                <w:rFonts w:cs="Arial"/>
              </w:rPr>
              <w:t>28</w:t>
            </w:r>
            <w:r w:rsidRPr="003939A7">
              <w:rPr>
                <w:rFonts w:cs="Arial"/>
              </w:rPr>
              <w:t>)</w:t>
            </w:r>
          </w:p>
          <w:p w14:paraId="0A91CA62" w14:textId="77777777" w:rsidR="00895935" w:rsidRPr="003939A7" w:rsidRDefault="00895935" w:rsidP="00D54778">
            <w:pPr>
              <w:jc w:val="both"/>
              <w:rPr>
                <w:rFonts w:cs="Arial"/>
              </w:rPr>
            </w:pPr>
            <w:r w:rsidRPr="003939A7">
              <w:rPr>
                <w:rFonts w:cs="Arial"/>
              </w:rPr>
              <w:t xml:space="preserve">Mid-point                                                                                                                                                                                                                                                                                                                                                                                                                                                                                                                                                                                                                                                                                                                                                                                                                                                                                                                                                                                                                                                                                                                                                                                                                                                                                                                                                                                                                                                                                                                                                                                                                                                                                                                                                                                                                                                                                                                                                                                                                                                                                                                                                                                                                                                                                                                                                                                                                                                                                                                                                                                                                                                                                                                                                                                                                                                                                                                                                                                                                                                                                                    </w:t>
            </w:r>
          </w:p>
        </w:tc>
        <w:tc>
          <w:tcPr>
            <w:tcW w:w="1985" w:type="dxa"/>
          </w:tcPr>
          <w:p w14:paraId="160DC2FB" w14:textId="77777777" w:rsidR="00895935" w:rsidRPr="003939A7" w:rsidRDefault="00BC16EA" w:rsidP="00D54778">
            <w:pPr>
              <w:jc w:val="both"/>
              <w:rPr>
                <w:rFonts w:cs="Arial"/>
              </w:rPr>
            </w:pPr>
            <w:r w:rsidRPr="003939A7">
              <w:rPr>
                <w:rFonts w:cs="Arial"/>
              </w:rPr>
              <w:t>18.55</w:t>
            </w:r>
            <w:r w:rsidR="00895935" w:rsidRPr="003939A7">
              <w:rPr>
                <w:rFonts w:cs="Arial"/>
              </w:rPr>
              <w:t xml:space="preserve"> </w:t>
            </w:r>
          </w:p>
          <w:p w14:paraId="28FDE58F" w14:textId="77777777" w:rsidR="00895935" w:rsidRPr="003939A7" w:rsidRDefault="00BC16EA" w:rsidP="00D54778">
            <w:pPr>
              <w:jc w:val="both"/>
              <w:rPr>
                <w:rFonts w:cs="Arial"/>
              </w:rPr>
            </w:pPr>
            <w:r w:rsidRPr="003939A7">
              <w:rPr>
                <w:rFonts w:cs="Arial"/>
              </w:rPr>
              <w:t>19.53</w:t>
            </w:r>
          </w:p>
        </w:tc>
        <w:tc>
          <w:tcPr>
            <w:tcW w:w="2835" w:type="dxa"/>
          </w:tcPr>
          <w:p w14:paraId="2F5C78A4" w14:textId="77777777" w:rsidR="00895935" w:rsidRPr="003939A7" w:rsidRDefault="00BC16EA" w:rsidP="00D54778">
            <w:pPr>
              <w:jc w:val="both"/>
              <w:rPr>
                <w:rFonts w:cs="Arial"/>
              </w:rPr>
            </w:pPr>
            <w:r w:rsidRPr="003939A7">
              <w:rPr>
                <w:rFonts w:cs="Arial"/>
              </w:rPr>
              <w:t>0.01</w:t>
            </w:r>
          </w:p>
        </w:tc>
      </w:tr>
      <w:tr w:rsidR="00895935" w:rsidRPr="003939A7" w14:paraId="76FD7EE5" w14:textId="77777777" w:rsidTr="00895935">
        <w:tc>
          <w:tcPr>
            <w:tcW w:w="1951" w:type="dxa"/>
          </w:tcPr>
          <w:p w14:paraId="7EC5B1B1" w14:textId="77777777" w:rsidR="00895935" w:rsidRPr="003939A7" w:rsidRDefault="00895935" w:rsidP="00D54778">
            <w:pPr>
              <w:jc w:val="both"/>
              <w:rPr>
                <w:rFonts w:cs="Arial"/>
              </w:rPr>
            </w:pPr>
            <w:r w:rsidRPr="003939A7">
              <w:rPr>
                <w:rFonts w:cs="Arial"/>
              </w:rPr>
              <w:t>Baseline (n=</w:t>
            </w:r>
            <w:r w:rsidR="00B43374" w:rsidRPr="003939A7">
              <w:rPr>
                <w:rFonts w:cs="Arial"/>
              </w:rPr>
              <w:t>28</w:t>
            </w:r>
            <w:r w:rsidRPr="003939A7">
              <w:rPr>
                <w:rFonts w:cs="Arial"/>
              </w:rPr>
              <w:t>)</w:t>
            </w:r>
          </w:p>
          <w:p w14:paraId="013EC725" w14:textId="77777777" w:rsidR="00895935" w:rsidRPr="003939A7" w:rsidRDefault="00895935" w:rsidP="00D54778">
            <w:pPr>
              <w:jc w:val="both"/>
              <w:rPr>
                <w:rFonts w:cs="Arial"/>
              </w:rPr>
            </w:pPr>
            <w:r w:rsidRPr="003939A7">
              <w:rPr>
                <w:rFonts w:cs="Arial"/>
              </w:rPr>
              <w:t>End-point</w:t>
            </w:r>
          </w:p>
        </w:tc>
        <w:tc>
          <w:tcPr>
            <w:tcW w:w="1985" w:type="dxa"/>
          </w:tcPr>
          <w:p w14:paraId="606A8306" w14:textId="77777777" w:rsidR="00895935" w:rsidRPr="003939A7" w:rsidRDefault="00B43374" w:rsidP="00D54778">
            <w:pPr>
              <w:jc w:val="both"/>
              <w:rPr>
                <w:rFonts w:cs="Arial"/>
              </w:rPr>
            </w:pPr>
            <w:r w:rsidRPr="003939A7">
              <w:rPr>
                <w:rFonts w:cs="Arial"/>
              </w:rPr>
              <w:t>18.28</w:t>
            </w:r>
            <w:r w:rsidR="00895935" w:rsidRPr="003939A7">
              <w:rPr>
                <w:rFonts w:cs="Arial"/>
              </w:rPr>
              <w:t xml:space="preserve"> </w:t>
            </w:r>
          </w:p>
          <w:p w14:paraId="713159F0" w14:textId="77777777" w:rsidR="00895935" w:rsidRPr="003939A7" w:rsidRDefault="00B43374" w:rsidP="00D54778">
            <w:pPr>
              <w:jc w:val="both"/>
              <w:rPr>
                <w:rFonts w:cs="Arial"/>
              </w:rPr>
            </w:pPr>
            <w:r w:rsidRPr="003939A7">
              <w:rPr>
                <w:rFonts w:cs="Arial"/>
              </w:rPr>
              <w:t>19.25</w:t>
            </w:r>
          </w:p>
        </w:tc>
        <w:tc>
          <w:tcPr>
            <w:tcW w:w="2835" w:type="dxa"/>
          </w:tcPr>
          <w:p w14:paraId="0D5452E9" w14:textId="77777777" w:rsidR="00895935" w:rsidRPr="003939A7" w:rsidRDefault="00B43374" w:rsidP="00D54778">
            <w:pPr>
              <w:jc w:val="both"/>
              <w:rPr>
                <w:rFonts w:cs="Arial"/>
              </w:rPr>
            </w:pPr>
            <w:r w:rsidRPr="003939A7">
              <w:rPr>
                <w:rFonts w:cs="Arial"/>
              </w:rPr>
              <w:t>0.003</w:t>
            </w:r>
          </w:p>
        </w:tc>
      </w:tr>
      <w:tr w:rsidR="00895935" w:rsidRPr="003939A7" w14:paraId="3478913F" w14:textId="77777777" w:rsidTr="00895935">
        <w:tc>
          <w:tcPr>
            <w:tcW w:w="1951" w:type="dxa"/>
          </w:tcPr>
          <w:p w14:paraId="75FA179E" w14:textId="77777777" w:rsidR="00895935" w:rsidRPr="003939A7" w:rsidRDefault="00895935" w:rsidP="00D54778">
            <w:pPr>
              <w:jc w:val="both"/>
              <w:rPr>
                <w:rFonts w:cs="Arial"/>
              </w:rPr>
            </w:pPr>
            <w:r w:rsidRPr="003939A7">
              <w:rPr>
                <w:rFonts w:cs="Arial"/>
              </w:rPr>
              <w:t>Baseline (n=</w:t>
            </w:r>
            <w:r w:rsidR="00866072" w:rsidRPr="003939A7">
              <w:rPr>
                <w:rFonts w:cs="Arial"/>
              </w:rPr>
              <w:t>17</w:t>
            </w:r>
            <w:r w:rsidRPr="003939A7">
              <w:rPr>
                <w:rFonts w:cs="Arial"/>
              </w:rPr>
              <w:t>)</w:t>
            </w:r>
          </w:p>
          <w:p w14:paraId="1668EF21" w14:textId="77777777" w:rsidR="00895935" w:rsidRPr="003939A7" w:rsidRDefault="00895935" w:rsidP="00D54778">
            <w:pPr>
              <w:jc w:val="both"/>
              <w:rPr>
                <w:rFonts w:cs="Arial"/>
              </w:rPr>
            </w:pPr>
            <w:r w:rsidRPr="003939A7">
              <w:rPr>
                <w:rFonts w:cs="Arial"/>
              </w:rPr>
              <w:t>1-year end-point</w:t>
            </w:r>
          </w:p>
        </w:tc>
        <w:tc>
          <w:tcPr>
            <w:tcW w:w="1985" w:type="dxa"/>
          </w:tcPr>
          <w:p w14:paraId="52AA79A9" w14:textId="77777777" w:rsidR="00D7596E" w:rsidRPr="003939A7" w:rsidRDefault="00D7596E" w:rsidP="00D54778">
            <w:pPr>
              <w:jc w:val="both"/>
              <w:rPr>
                <w:rFonts w:cs="Arial"/>
              </w:rPr>
            </w:pPr>
            <w:r w:rsidRPr="003939A7">
              <w:rPr>
                <w:rFonts w:cs="Arial"/>
              </w:rPr>
              <w:t>17.43</w:t>
            </w:r>
            <w:r w:rsidR="00895935" w:rsidRPr="003939A7">
              <w:rPr>
                <w:rFonts w:cs="Arial"/>
              </w:rPr>
              <w:t xml:space="preserve"> </w:t>
            </w:r>
          </w:p>
          <w:p w14:paraId="710A3CD5" w14:textId="77777777" w:rsidR="00895935" w:rsidRPr="003939A7" w:rsidRDefault="00D7596E" w:rsidP="00D54778">
            <w:pPr>
              <w:jc w:val="both"/>
              <w:rPr>
                <w:rFonts w:cs="Arial"/>
              </w:rPr>
            </w:pPr>
            <w:r w:rsidRPr="003939A7">
              <w:rPr>
                <w:rFonts w:cs="Arial"/>
              </w:rPr>
              <w:t>19.25</w:t>
            </w:r>
          </w:p>
        </w:tc>
        <w:tc>
          <w:tcPr>
            <w:tcW w:w="2835" w:type="dxa"/>
          </w:tcPr>
          <w:p w14:paraId="30CC9B8F" w14:textId="77777777" w:rsidR="00895935" w:rsidRPr="003939A7" w:rsidRDefault="00B43374" w:rsidP="00D54778">
            <w:pPr>
              <w:jc w:val="both"/>
              <w:rPr>
                <w:rFonts w:cs="Arial"/>
              </w:rPr>
            </w:pPr>
            <w:r w:rsidRPr="003939A7">
              <w:rPr>
                <w:rFonts w:cs="Arial"/>
              </w:rPr>
              <w:t>0.03</w:t>
            </w:r>
          </w:p>
        </w:tc>
      </w:tr>
    </w:tbl>
    <w:p w14:paraId="1068DEA1" w14:textId="77777777" w:rsidR="000677D1" w:rsidRPr="003939A7" w:rsidRDefault="000677D1" w:rsidP="0047137A">
      <w:pPr>
        <w:spacing w:after="0" w:line="360" w:lineRule="auto"/>
        <w:jc w:val="both"/>
      </w:pPr>
    </w:p>
    <w:p w14:paraId="22317792" w14:textId="17459CF4" w:rsidR="0047137A" w:rsidRPr="003939A7" w:rsidRDefault="0047137A" w:rsidP="0047137A">
      <w:pPr>
        <w:spacing w:after="0" w:line="360" w:lineRule="auto"/>
        <w:jc w:val="both"/>
        <w:rPr>
          <w:rFonts w:cs="Arial"/>
          <w:i/>
        </w:rPr>
      </w:pPr>
      <w:r w:rsidRPr="003939A7">
        <w:t xml:space="preserve">At the end of the Human Henge programme participants were asked if they felt that Human Henge </w:t>
      </w:r>
      <w:r w:rsidR="008E72D6" w:rsidRPr="003939A7">
        <w:t xml:space="preserve">programme </w:t>
      </w:r>
      <w:r w:rsidRPr="003939A7">
        <w:t xml:space="preserve">had impacted on their mental health:  </w:t>
      </w:r>
      <w:r w:rsidR="001B2308" w:rsidRPr="003939A7">
        <w:t xml:space="preserve">23 (79.3%) </w:t>
      </w:r>
      <w:r w:rsidRPr="003939A7">
        <w:t>identified that it had a positive impact upon their mental health well</w:t>
      </w:r>
      <w:r w:rsidR="00D06F8B" w:rsidRPr="003939A7">
        <w:t>-</w:t>
      </w:r>
      <w:r w:rsidRPr="003939A7">
        <w:t xml:space="preserve">being, </w:t>
      </w:r>
      <w:r w:rsidR="002C7F35" w:rsidRPr="003939A7">
        <w:t>6 (</w:t>
      </w:r>
      <w:r w:rsidR="001B2308" w:rsidRPr="003939A7">
        <w:t>20.7%</w:t>
      </w:r>
      <w:r w:rsidR="002C7F35" w:rsidRPr="003939A7">
        <w:t>)</w:t>
      </w:r>
      <w:r w:rsidRPr="003939A7">
        <w:t xml:space="preserve"> were unsure, and </w:t>
      </w:r>
      <w:r w:rsidR="002C7F35" w:rsidRPr="003939A7">
        <w:t>6</w:t>
      </w:r>
      <w:r w:rsidR="001B2308" w:rsidRPr="003939A7">
        <w:t xml:space="preserve"> </w:t>
      </w:r>
      <w:r w:rsidRPr="003939A7">
        <w:t xml:space="preserve">people did not </w:t>
      </w:r>
      <w:r w:rsidR="004357AC" w:rsidRPr="003939A7">
        <w:t xml:space="preserve">answer to </w:t>
      </w:r>
      <w:r w:rsidRPr="003939A7">
        <w:t xml:space="preserve">this question. </w:t>
      </w:r>
      <w:r w:rsidR="00F21411" w:rsidRPr="003939A7">
        <w:t xml:space="preserve">The figures for one-year </w:t>
      </w:r>
      <w:r w:rsidR="00BA749D" w:rsidRPr="003939A7">
        <w:t xml:space="preserve">post intervention </w:t>
      </w:r>
      <w:r w:rsidR="0018698A" w:rsidRPr="003939A7">
        <w:t xml:space="preserve">identified that </w:t>
      </w:r>
      <w:r w:rsidR="00F21411" w:rsidRPr="003939A7">
        <w:t>88.2</w:t>
      </w:r>
      <w:r w:rsidR="00681DD7" w:rsidRPr="003939A7">
        <w:t>%</w:t>
      </w:r>
      <w:r w:rsidR="00F21411" w:rsidRPr="003939A7">
        <w:t xml:space="preserve"> </w:t>
      </w:r>
      <w:r w:rsidR="003A3C4D" w:rsidRPr="003939A7">
        <w:t xml:space="preserve">(n=15) </w:t>
      </w:r>
      <w:r w:rsidR="0018698A" w:rsidRPr="003939A7">
        <w:t xml:space="preserve">of participants </w:t>
      </w:r>
      <w:r w:rsidR="00F21411" w:rsidRPr="003939A7">
        <w:t xml:space="preserve">stated that the project had a positive impact on their mental health well-being whilst </w:t>
      </w:r>
      <w:r w:rsidR="003A3C4D" w:rsidRPr="003939A7">
        <w:t>11.8</w:t>
      </w:r>
      <w:r w:rsidR="00681DD7" w:rsidRPr="003939A7">
        <w:t>%</w:t>
      </w:r>
      <w:r w:rsidR="00F21411" w:rsidRPr="003939A7">
        <w:t xml:space="preserve"> (n=</w:t>
      </w:r>
      <w:r w:rsidR="003A3C4D" w:rsidRPr="003939A7">
        <w:t>2</w:t>
      </w:r>
      <w:r w:rsidR="00F21411" w:rsidRPr="003939A7">
        <w:t>) participants were unsure</w:t>
      </w:r>
      <w:r w:rsidR="003A3C4D" w:rsidRPr="003939A7">
        <w:t>.</w:t>
      </w:r>
    </w:p>
    <w:p w14:paraId="5EC4CE8A" w14:textId="77777777" w:rsidR="0047137A" w:rsidRPr="003939A7" w:rsidRDefault="0047137A" w:rsidP="00876312">
      <w:pPr>
        <w:spacing w:after="0" w:line="360" w:lineRule="auto"/>
        <w:jc w:val="both"/>
        <w:rPr>
          <w:rFonts w:cs="Arial"/>
          <w:i/>
        </w:rPr>
      </w:pPr>
    </w:p>
    <w:p w14:paraId="3F346E4E" w14:textId="77777777" w:rsidR="00F521BB" w:rsidRPr="003939A7" w:rsidRDefault="00F521BB" w:rsidP="00876312">
      <w:pPr>
        <w:spacing w:after="0" w:line="360" w:lineRule="auto"/>
        <w:jc w:val="both"/>
        <w:rPr>
          <w:rFonts w:cs="Arial"/>
          <w:i/>
        </w:rPr>
      </w:pPr>
      <w:r w:rsidRPr="003939A7">
        <w:rPr>
          <w:rFonts w:cs="Arial"/>
          <w:i/>
        </w:rPr>
        <w:t>3.2 Qualitative Data</w:t>
      </w:r>
    </w:p>
    <w:p w14:paraId="59788EEF" w14:textId="4EE2F9C9" w:rsidR="00ED16F9" w:rsidRPr="003939A7" w:rsidRDefault="00ED16F9" w:rsidP="00ED16F9">
      <w:pPr>
        <w:spacing w:after="0" w:line="360" w:lineRule="auto"/>
        <w:jc w:val="both"/>
        <w:rPr>
          <w:rFonts w:cs="Arial"/>
        </w:rPr>
      </w:pPr>
      <w:r w:rsidRPr="003939A7">
        <w:rPr>
          <w:rFonts w:cs="Arial"/>
        </w:rPr>
        <w:t>Analysing data from the focus groups and personal reflections collated at the end of programme (Groups 1, 2</w:t>
      </w:r>
      <w:r w:rsidR="009E7767" w:rsidRPr="003939A7">
        <w:rPr>
          <w:rFonts w:cs="Arial"/>
        </w:rPr>
        <w:t>,</w:t>
      </w:r>
      <w:r w:rsidRPr="003939A7">
        <w:rPr>
          <w:rFonts w:cs="Arial"/>
        </w:rPr>
        <w:t xml:space="preserve"> and 3) and one</w:t>
      </w:r>
      <w:r w:rsidR="00A16AE7" w:rsidRPr="003939A7">
        <w:rPr>
          <w:rFonts w:cs="Arial"/>
        </w:rPr>
        <w:t>-</w:t>
      </w:r>
      <w:r w:rsidRPr="003939A7">
        <w:rPr>
          <w:rFonts w:cs="Arial"/>
        </w:rPr>
        <w:t xml:space="preserve">year post programme (Groups 1 and 2) led to </w:t>
      </w:r>
      <w:r w:rsidR="00A16AE7" w:rsidRPr="003939A7">
        <w:rPr>
          <w:rFonts w:cs="Arial"/>
        </w:rPr>
        <w:t xml:space="preserve">the identification of </w:t>
      </w:r>
      <w:r w:rsidR="005C4A43" w:rsidRPr="003939A7">
        <w:rPr>
          <w:rFonts w:cs="Arial"/>
        </w:rPr>
        <w:t>four</w:t>
      </w:r>
      <w:r w:rsidRPr="003939A7">
        <w:rPr>
          <w:rFonts w:cs="Arial"/>
        </w:rPr>
        <w:t xml:space="preserve"> themes: Feeling </w:t>
      </w:r>
      <w:r w:rsidR="00A16AE7" w:rsidRPr="003939A7">
        <w:rPr>
          <w:rFonts w:cs="Arial"/>
        </w:rPr>
        <w:t>c</w:t>
      </w:r>
      <w:r w:rsidRPr="003939A7">
        <w:rPr>
          <w:rFonts w:cs="Arial"/>
        </w:rPr>
        <w:t>onnected</w:t>
      </w:r>
      <w:r w:rsidR="00A16AE7" w:rsidRPr="003939A7">
        <w:rPr>
          <w:rFonts w:cs="Arial"/>
        </w:rPr>
        <w:t>;</w:t>
      </w:r>
      <w:r w:rsidRPr="003939A7">
        <w:rPr>
          <w:rFonts w:cs="Arial"/>
        </w:rPr>
        <w:t xml:space="preserve"> Being me</w:t>
      </w:r>
      <w:r w:rsidR="00A16AE7" w:rsidRPr="003939A7">
        <w:rPr>
          <w:rFonts w:cs="Arial"/>
        </w:rPr>
        <w:t>;</w:t>
      </w:r>
      <w:r w:rsidRPr="003939A7">
        <w:rPr>
          <w:rFonts w:cs="Arial"/>
        </w:rPr>
        <w:t xml:space="preserve"> Challenging oneself</w:t>
      </w:r>
      <w:r w:rsidR="00A16AE7" w:rsidRPr="003939A7">
        <w:rPr>
          <w:rFonts w:cs="Arial"/>
        </w:rPr>
        <w:t>;</w:t>
      </w:r>
      <w:r w:rsidR="0047137A" w:rsidRPr="003939A7">
        <w:rPr>
          <w:rFonts w:cs="Arial"/>
        </w:rPr>
        <w:t xml:space="preserve"> </w:t>
      </w:r>
      <w:r w:rsidRPr="003939A7">
        <w:rPr>
          <w:rFonts w:cs="Arial"/>
        </w:rPr>
        <w:t>and Impact on mental health well-being</w:t>
      </w:r>
      <w:r w:rsidR="00A16AE7" w:rsidRPr="003939A7">
        <w:rPr>
          <w:rFonts w:cs="Arial"/>
        </w:rPr>
        <w:t>.</w:t>
      </w:r>
    </w:p>
    <w:p w14:paraId="0110568C" w14:textId="77777777" w:rsidR="003730EE" w:rsidRPr="003939A7" w:rsidRDefault="003730EE" w:rsidP="00ED16F9">
      <w:pPr>
        <w:spacing w:after="0" w:line="360" w:lineRule="auto"/>
        <w:jc w:val="both"/>
        <w:rPr>
          <w:rFonts w:cs="Arial"/>
        </w:rPr>
      </w:pPr>
    </w:p>
    <w:p w14:paraId="6AD4E5AA" w14:textId="77777777" w:rsidR="00E06E4C" w:rsidRPr="003939A7" w:rsidRDefault="00ED16F9" w:rsidP="00ED16F9">
      <w:pPr>
        <w:spacing w:after="0" w:line="360" w:lineRule="auto"/>
        <w:jc w:val="both"/>
        <w:rPr>
          <w:rFonts w:cs="Arial"/>
          <w:i/>
        </w:rPr>
      </w:pPr>
      <w:r w:rsidRPr="003939A7">
        <w:rPr>
          <w:rFonts w:cs="Arial"/>
          <w:i/>
        </w:rPr>
        <w:t xml:space="preserve">3.2.1 Feeling </w:t>
      </w:r>
      <w:r w:rsidR="00A16AE7" w:rsidRPr="003939A7">
        <w:rPr>
          <w:rFonts w:cs="Arial"/>
          <w:i/>
        </w:rPr>
        <w:t>c</w:t>
      </w:r>
      <w:r w:rsidR="00E06E4C" w:rsidRPr="003939A7">
        <w:rPr>
          <w:rFonts w:cs="Arial"/>
          <w:i/>
        </w:rPr>
        <w:t>onnect</w:t>
      </w:r>
      <w:r w:rsidRPr="003939A7">
        <w:rPr>
          <w:rFonts w:cs="Arial"/>
          <w:i/>
        </w:rPr>
        <w:t>ed</w:t>
      </w:r>
    </w:p>
    <w:p w14:paraId="047B9C6E" w14:textId="082DC99A" w:rsidR="00F81AD3" w:rsidRPr="003939A7" w:rsidRDefault="00FB43FA" w:rsidP="00FB43FA">
      <w:pPr>
        <w:spacing w:after="0" w:line="360" w:lineRule="auto"/>
        <w:jc w:val="both"/>
        <w:rPr>
          <w:rFonts w:cs="Arial"/>
        </w:rPr>
      </w:pPr>
      <w:r w:rsidRPr="003939A7">
        <w:rPr>
          <w:rFonts w:cs="Arial"/>
        </w:rPr>
        <w:t xml:space="preserve">Across all three groups there was a strong </w:t>
      </w:r>
      <w:r w:rsidR="00A16AE7" w:rsidRPr="003939A7">
        <w:rPr>
          <w:rFonts w:cs="Arial"/>
        </w:rPr>
        <w:t xml:space="preserve">sense that part of their achievement </w:t>
      </w:r>
      <w:r w:rsidRPr="003939A7">
        <w:rPr>
          <w:rFonts w:cs="Arial"/>
        </w:rPr>
        <w:t>centred on re-connection</w:t>
      </w:r>
      <w:r w:rsidR="00616E00" w:rsidRPr="003939A7">
        <w:rPr>
          <w:rFonts w:cs="Arial"/>
        </w:rPr>
        <w:t>s</w:t>
      </w:r>
      <w:r w:rsidRPr="003939A7">
        <w:rPr>
          <w:rFonts w:cs="Arial"/>
        </w:rPr>
        <w:t xml:space="preserve"> to </w:t>
      </w:r>
      <w:r w:rsidR="00425B83" w:rsidRPr="003939A7">
        <w:rPr>
          <w:rFonts w:cs="Arial"/>
        </w:rPr>
        <w:t>people, place</w:t>
      </w:r>
      <w:r w:rsidR="00A16AE7" w:rsidRPr="003939A7">
        <w:rPr>
          <w:rFonts w:cs="Arial"/>
        </w:rPr>
        <w:t>,</w:t>
      </w:r>
      <w:r w:rsidR="00425B83" w:rsidRPr="003939A7">
        <w:rPr>
          <w:rFonts w:cs="Arial"/>
        </w:rPr>
        <w:t xml:space="preserve"> and </w:t>
      </w:r>
      <w:r w:rsidR="0048056F" w:rsidRPr="003939A7">
        <w:rPr>
          <w:rFonts w:cs="Arial"/>
        </w:rPr>
        <w:t xml:space="preserve">lost </w:t>
      </w:r>
      <w:r w:rsidR="00ED75E6" w:rsidRPr="003939A7">
        <w:rPr>
          <w:rFonts w:cs="Arial"/>
        </w:rPr>
        <w:t>passions</w:t>
      </w:r>
      <w:r w:rsidR="00425B83" w:rsidRPr="003939A7">
        <w:rPr>
          <w:rFonts w:cs="Arial"/>
        </w:rPr>
        <w:t xml:space="preserve">. </w:t>
      </w:r>
      <w:r w:rsidR="00D73CA6" w:rsidRPr="003939A7">
        <w:rPr>
          <w:rFonts w:cs="Arial"/>
        </w:rPr>
        <w:t>Re-connecti</w:t>
      </w:r>
      <w:r w:rsidR="00A16AE7" w:rsidRPr="003939A7">
        <w:rPr>
          <w:rFonts w:cs="Arial"/>
        </w:rPr>
        <w:t>ng</w:t>
      </w:r>
      <w:r w:rsidR="00D73CA6" w:rsidRPr="003939A7">
        <w:rPr>
          <w:rFonts w:cs="Arial"/>
        </w:rPr>
        <w:t xml:space="preserve"> with people focussed on </w:t>
      </w:r>
      <w:r w:rsidR="00A16AE7" w:rsidRPr="003939A7">
        <w:rPr>
          <w:rFonts w:cs="Arial"/>
        </w:rPr>
        <w:t>linking</w:t>
      </w:r>
      <w:r w:rsidR="00D73CA6" w:rsidRPr="003939A7">
        <w:rPr>
          <w:rFonts w:cs="Arial"/>
        </w:rPr>
        <w:t xml:space="preserve"> with their past </w:t>
      </w:r>
      <w:r w:rsidR="00423F34" w:rsidRPr="003939A7">
        <w:rPr>
          <w:rFonts w:cs="Arial"/>
        </w:rPr>
        <w:t>and past</w:t>
      </w:r>
      <w:r w:rsidR="00D73CA6" w:rsidRPr="003939A7">
        <w:rPr>
          <w:rFonts w:cs="Arial"/>
        </w:rPr>
        <w:t xml:space="preserve"> lives remembering happy times before they became ill</w:t>
      </w:r>
      <w:r w:rsidR="00A16AE7" w:rsidRPr="003939A7">
        <w:rPr>
          <w:rFonts w:cs="Arial"/>
        </w:rPr>
        <w:t>:</w:t>
      </w:r>
      <w:r w:rsidR="00D73CA6" w:rsidRPr="003939A7">
        <w:rPr>
          <w:rFonts w:cs="Arial"/>
        </w:rPr>
        <w:t xml:space="preserve"> </w:t>
      </w:r>
      <w:r w:rsidR="00D73CA6" w:rsidRPr="003939A7">
        <w:rPr>
          <w:rFonts w:cs="Arial"/>
          <w:i/>
        </w:rPr>
        <w:t>“I used to come to Stonehenge 40</w:t>
      </w:r>
      <w:r w:rsidR="00A16AE7" w:rsidRPr="003939A7">
        <w:rPr>
          <w:rFonts w:cs="Arial"/>
          <w:i/>
        </w:rPr>
        <w:t>–</w:t>
      </w:r>
      <w:r w:rsidR="00D73CA6" w:rsidRPr="003939A7">
        <w:rPr>
          <w:rFonts w:cs="Arial"/>
          <w:i/>
        </w:rPr>
        <w:t xml:space="preserve">50 years ago with my little children and it was so different then.  </w:t>
      </w:r>
      <w:r w:rsidR="008B5403" w:rsidRPr="003939A7">
        <w:rPr>
          <w:rFonts w:cs="Arial"/>
          <w:i/>
        </w:rPr>
        <w:t>You were free.  You climbed on the stones, they played their games around the stones and it’s so different today”</w:t>
      </w:r>
      <w:r w:rsidR="008B5403" w:rsidRPr="003939A7">
        <w:rPr>
          <w:rFonts w:cs="Arial"/>
        </w:rPr>
        <w:t xml:space="preserve"> (Male participant</w:t>
      </w:r>
      <w:r w:rsidR="00A16AE7" w:rsidRPr="003939A7">
        <w:rPr>
          <w:rFonts w:cs="Arial"/>
        </w:rPr>
        <w:t>,</w:t>
      </w:r>
      <w:r w:rsidR="008B5403" w:rsidRPr="003939A7">
        <w:rPr>
          <w:rFonts w:cs="Arial"/>
        </w:rPr>
        <w:t xml:space="preserve"> </w:t>
      </w:r>
      <w:r w:rsidR="00ED75E6" w:rsidRPr="003939A7">
        <w:rPr>
          <w:rFonts w:cs="Arial"/>
        </w:rPr>
        <w:t xml:space="preserve">Gp1 Focus </w:t>
      </w:r>
      <w:r w:rsidR="00AF201C" w:rsidRPr="003939A7">
        <w:rPr>
          <w:rFonts w:cs="Arial"/>
        </w:rPr>
        <w:t>G</w:t>
      </w:r>
      <w:r w:rsidR="008B5403" w:rsidRPr="003939A7">
        <w:rPr>
          <w:rFonts w:cs="Arial"/>
        </w:rPr>
        <w:t>roup</w:t>
      </w:r>
      <w:r w:rsidR="00A16AE7" w:rsidRPr="003939A7">
        <w:rPr>
          <w:rFonts w:cs="Arial"/>
        </w:rPr>
        <w:t>,</w:t>
      </w:r>
      <w:r w:rsidR="008B5403" w:rsidRPr="003939A7">
        <w:rPr>
          <w:rFonts w:cs="Arial"/>
        </w:rPr>
        <w:t xml:space="preserve"> </w:t>
      </w:r>
      <w:r w:rsidR="002F0D62" w:rsidRPr="003939A7">
        <w:rPr>
          <w:rFonts w:cs="Arial"/>
        </w:rPr>
        <w:t xml:space="preserve">end of </w:t>
      </w:r>
      <w:r w:rsidR="00A15052" w:rsidRPr="003939A7">
        <w:rPr>
          <w:rFonts w:cs="Arial"/>
        </w:rPr>
        <w:t>intervention</w:t>
      </w:r>
      <w:r w:rsidR="008B5403" w:rsidRPr="003939A7">
        <w:rPr>
          <w:rFonts w:cs="Arial"/>
        </w:rPr>
        <w:t xml:space="preserve">). </w:t>
      </w:r>
      <w:r w:rsidR="007D2537" w:rsidRPr="003939A7">
        <w:rPr>
          <w:rFonts w:cs="Arial"/>
        </w:rPr>
        <w:t xml:space="preserve">Participants </w:t>
      </w:r>
      <w:r w:rsidR="00A16AE7" w:rsidRPr="003939A7">
        <w:rPr>
          <w:rFonts w:cs="Arial"/>
        </w:rPr>
        <w:t xml:space="preserve">also </w:t>
      </w:r>
      <w:r w:rsidR="007D2537" w:rsidRPr="003939A7">
        <w:rPr>
          <w:rFonts w:cs="Arial"/>
        </w:rPr>
        <w:t>re</w:t>
      </w:r>
      <w:r w:rsidR="00A16AE7" w:rsidRPr="003939A7">
        <w:rPr>
          <w:rFonts w:cs="Arial"/>
        </w:rPr>
        <w:t>-</w:t>
      </w:r>
      <w:r w:rsidR="007D2537" w:rsidRPr="003939A7">
        <w:rPr>
          <w:rFonts w:cs="Arial"/>
        </w:rPr>
        <w:t xml:space="preserve">connected </w:t>
      </w:r>
      <w:r w:rsidR="00425B83" w:rsidRPr="003939A7">
        <w:rPr>
          <w:rFonts w:cs="Arial"/>
        </w:rPr>
        <w:t xml:space="preserve">with </w:t>
      </w:r>
      <w:r w:rsidR="00061466" w:rsidRPr="003939A7">
        <w:rPr>
          <w:rFonts w:cs="Arial"/>
        </w:rPr>
        <w:t>earlier peoples</w:t>
      </w:r>
      <w:r w:rsidR="003730EE" w:rsidRPr="003939A7">
        <w:rPr>
          <w:rFonts w:cs="Arial"/>
        </w:rPr>
        <w:t xml:space="preserve"> </w:t>
      </w:r>
      <w:r w:rsidR="00423F34" w:rsidRPr="003939A7">
        <w:rPr>
          <w:rFonts w:cs="Arial"/>
        </w:rPr>
        <w:t>who walked</w:t>
      </w:r>
      <w:r w:rsidR="003730EE" w:rsidRPr="003939A7">
        <w:rPr>
          <w:rFonts w:cs="Arial"/>
        </w:rPr>
        <w:t xml:space="preserve"> and lived </w:t>
      </w:r>
      <w:r w:rsidR="00A16AE7" w:rsidRPr="003939A7">
        <w:rPr>
          <w:rFonts w:cs="Arial"/>
        </w:rPr>
        <w:t>in</w:t>
      </w:r>
      <w:r w:rsidR="003730EE" w:rsidRPr="003939A7">
        <w:rPr>
          <w:rFonts w:cs="Arial"/>
        </w:rPr>
        <w:t xml:space="preserve"> the landscape they were exploring</w:t>
      </w:r>
      <w:r w:rsidR="00616E00" w:rsidRPr="003939A7">
        <w:rPr>
          <w:rFonts w:cs="Arial"/>
        </w:rPr>
        <w:t xml:space="preserve">, </w:t>
      </w:r>
      <w:r w:rsidR="003730EE" w:rsidRPr="003939A7">
        <w:rPr>
          <w:rFonts w:cs="Arial"/>
        </w:rPr>
        <w:t>enabl</w:t>
      </w:r>
      <w:r w:rsidR="00616E00" w:rsidRPr="003939A7">
        <w:rPr>
          <w:rFonts w:cs="Arial"/>
        </w:rPr>
        <w:t>ing</w:t>
      </w:r>
      <w:r w:rsidR="003730EE" w:rsidRPr="003939A7">
        <w:rPr>
          <w:rFonts w:cs="Arial"/>
        </w:rPr>
        <w:t xml:space="preserve"> them to reflect upon the similarities and differences of the lives of </w:t>
      </w:r>
      <w:r w:rsidR="00061466" w:rsidRPr="003939A7">
        <w:rPr>
          <w:rFonts w:cs="Arial"/>
        </w:rPr>
        <w:t>earlier peoples</w:t>
      </w:r>
      <w:r w:rsidR="003730EE" w:rsidRPr="003939A7">
        <w:rPr>
          <w:rFonts w:cs="Arial"/>
        </w:rPr>
        <w:t xml:space="preserve"> and their </w:t>
      </w:r>
      <w:r w:rsidR="00A16AE7" w:rsidRPr="003939A7">
        <w:rPr>
          <w:rFonts w:cs="Arial"/>
        </w:rPr>
        <w:t xml:space="preserve">own </w:t>
      </w:r>
      <w:r w:rsidR="003730EE" w:rsidRPr="003939A7">
        <w:rPr>
          <w:rFonts w:cs="Arial"/>
        </w:rPr>
        <w:t>experiences of living in society today. Reflecting on handling the ancient pottery one participant noted</w:t>
      </w:r>
      <w:r w:rsidR="00A16AE7" w:rsidRPr="003939A7">
        <w:rPr>
          <w:rFonts w:cs="Arial"/>
        </w:rPr>
        <w:t>:</w:t>
      </w:r>
      <w:r w:rsidR="003730EE" w:rsidRPr="003939A7">
        <w:rPr>
          <w:rFonts w:cs="Arial"/>
        </w:rPr>
        <w:t xml:space="preserve"> </w:t>
      </w:r>
      <w:r w:rsidR="003730EE" w:rsidRPr="003939A7">
        <w:rPr>
          <w:rFonts w:cs="Arial"/>
          <w:i/>
        </w:rPr>
        <w:t>“they had their hands on it and now I've got my hands on it and so that was like a connection and they would have had their same worries, perhaps not in exactly the same way, but shelter, food, family, those things would have been just the same for them, so I think there's a connection”</w:t>
      </w:r>
      <w:r w:rsidR="003730EE" w:rsidRPr="003939A7">
        <w:rPr>
          <w:rFonts w:cs="Arial"/>
        </w:rPr>
        <w:t xml:space="preserve"> (Male participant</w:t>
      </w:r>
      <w:r w:rsidR="00A16AE7" w:rsidRPr="003939A7">
        <w:rPr>
          <w:rFonts w:cs="Arial"/>
        </w:rPr>
        <w:t>,</w:t>
      </w:r>
      <w:r w:rsidR="003730EE" w:rsidRPr="003939A7">
        <w:rPr>
          <w:rFonts w:cs="Arial"/>
        </w:rPr>
        <w:t xml:space="preserve"> Gp3 Focus Group</w:t>
      </w:r>
      <w:r w:rsidR="00A16AE7" w:rsidRPr="003939A7">
        <w:rPr>
          <w:rFonts w:cs="Arial"/>
        </w:rPr>
        <w:t>,</w:t>
      </w:r>
      <w:r w:rsidR="003730EE" w:rsidRPr="003939A7">
        <w:rPr>
          <w:rFonts w:cs="Arial"/>
        </w:rPr>
        <w:t xml:space="preserve"> end of </w:t>
      </w:r>
      <w:r w:rsidR="00A15052" w:rsidRPr="003939A7">
        <w:rPr>
          <w:rFonts w:cs="Arial"/>
        </w:rPr>
        <w:t>intervention</w:t>
      </w:r>
      <w:r w:rsidR="003730EE" w:rsidRPr="003939A7">
        <w:rPr>
          <w:rFonts w:cs="Arial"/>
        </w:rPr>
        <w:t xml:space="preserve">). </w:t>
      </w:r>
    </w:p>
    <w:p w14:paraId="152CD5BF" w14:textId="77777777" w:rsidR="00F81AD3" w:rsidRPr="003939A7" w:rsidRDefault="00F81AD3" w:rsidP="00FB43FA">
      <w:pPr>
        <w:spacing w:after="0" w:line="360" w:lineRule="auto"/>
        <w:jc w:val="both"/>
        <w:rPr>
          <w:rFonts w:cs="Arial"/>
        </w:rPr>
      </w:pPr>
    </w:p>
    <w:p w14:paraId="7410B32F" w14:textId="0F6C2945" w:rsidR="00ED75E6" w:rsidRPr="003939A7" w:rsidRDefault="007E65D7" w:rsidP="002F0D62">
      <w:pPr>
        <w:spacing w:after="0" w:line="360" w:lineRule="auto"/>
        <w:jc w:val="both"/>
        <w:rPr>
          <w:rFonts w:cs="Arial"/>
        </w:rPr>
      </w:pPr>
      <w:r w:rsidRPr="003939A7">
        <w:rPr>
          <w:rFonts w:cs="Arial"/>
        </w:rPr>
        <w:t>This connection with people was not easy for all of the participants</w:t>
      </w:r>
      <w:r w:rsidR="002F0D62" w:rsidRPr="003939A7">
        <w:rPr>
          <w:rFonts w:cs="Arial"/>
        </w:rPr>
        <w:t>. At the start of the programme</w:t>
      </w:r>
      <w:r w:rsidR="00A16AE7" w:rsidRPr="003939A7">
        <w:rPr>
          <w:rFonts w:cs="Arial"/>
        </w:rPr>
        <w:t>,</w:t>
      </w:r>
      <w:r w:rsidR="002F0D62" w:rsidRPr="003939A7">
        <w:rPr>
          <w:rFonts w:cs="Arial"/>
        </w:rPr>
        <w:t xml:space="preserve"> when participants were asked if they had any worries or concerns about being involved in Human Henge</w:t>
      </w:r>
      <w:r w:rsidR="007D2537" w:rsidRPr="003939A7">
        <w:rPr>
          <w:rFonts w:cs="Arial"/>
        </w:rPr>
        <w:t>,</w:t>
      </w:r>
      <w:r w:rsidR="002F0D62" w:rsidRPr="003939A7">
        <w:rPr>
          <w:rFonts w:cs="Arial"/>
        </w:rPr>
        <w:t xml:space="preserve"> </w:t>
      </w:r>
      <w:r w:rsidR="002F0D62" w:rsidRPr="003939A7">
        <w:rPr>
          <w:rFonts w:cstheme="minorHAnsi"/>
        </w:rPr>
        <w:t>18 participants expressed feeling apprehensive due to meeting new people and being in a group setting (n=10) and anxiety (n=6).</w:t>
      </w:r>
      <w:r w:rsidR="002F0D62" w:rsidRPr="003939A7">
        <w:rPr>
          <w:rFonts w:cstheme="minorHAnsi"/>
          <w:sz w:val="24"/>
        </w:rPr>
        <w:t xml:space="preserve"> </w:t>
      </w:r>
      <w:r w:rsidR="002F0D62" w:rsidRPr="003939A7">
        <w:rPr>
          <w:rFonts w:cstheme="minorHAnsi"/>
        </w:rPr>
        <w:t xml:space="preserve">Although some of the participants identified anxiety and fear of being in </w:t>
      </w:r>
      <w:r w:rsidR="007E2290" w:rsidRPr="003939A7">
        <w:rPr>
          <w:rFonts w:cstheme="minorHAnsi"/>
        </w:rPr>
        <w:t xml:space="preserve">a </w:t>
      </w:r>
      <w:r w:rsidR="002F0D62" w:rsidRPr="003939A7">
        <w:rPr>
          <w:rFonts w:cstheme="minorHAnsi"/>
        </w:rPr>
        <w:t>group</w:t>
      </w:r>
      <w:r w:rsidR="007D2537" w:rsidRPr="003939A7">
        <w:rPr>
          <w:rFonts w:cstheme="minorHAnsi"/>
        </w:rPr>
        <w:t>,</w:t>
      </w:r>
      <w:r w:rsidR="002F0D62" w:rsidRPr="003939A7">
        <w:rPr>
          <w:rFonts w:cstheme="minorHAnsi"/>
        </w:rPr>
        <w:t xml:space="preserve"> </w:t>
      </w:r>
      <w:r w:rsidR="007E2290" w:rsidRPr="003939A7">
        <w:rPr>
          <w:rFonts w:cstheme="minorHAnsi"/>
        </w:rPr>
        <w:t>actually being with others</w:t>
      </w:r>
      <w:r w:rsidR="002F0D62" w:rsidRPr="003939A7">
        <w:rPr>
          <w:rFonts w:cstheme="minorHAnsi"/>
        </w:rPr>
        <w:t xml:space="preserve"> had a major impact upon the participants’ enjoyment of Human Henge. This is perhaps best illustrated by the example of one male participant in </w:t>
      </w:r>
      <w:r w:rsidR="007E2290" w:rsidRPr="003939A7">
        <w:rPr>
          <w:rFonts w:cstheme="minorHAnsi"/>
        </w:rPr>
        <w:t>G</w:t>
      </w:r>
      <w:r w:rsidR="002F0D62" w:rsidRPr="003939A7">
        <w:rPr>
          <w:rFonts w:cstheme="minorHAnsi"/>
        </w:rPr>
        <w:t xml:space="preserve">roup 1. </w:t>
      </w:r>
      <w:r w:rsidR="002F0D62" w:rsidRPr="003939A7">
        <w:rPr>
          <w:rFonts w:cs="Arial"/>
        </w:rPr>
        <w:t xml:space="preserve">In the </w:t>
      </w:r>
      <w:r w:rsidR="00AF201C" w:rsidRPr="003939A7">
        <w:rPr>
          <w:rFonts w:cs="Arial"/>
        </w:rPr>
        <w:t>F</w:t>
      </w:r>
      <w:r w:rsidRPr="003939A7">
        <w:rPr>
          <w:rFonts w:cs="Arial"/>
        </w:rPr>
        <w:t xml:space="preserve">ocus </w:t>
      </w:r>
      <w:r w:rsidR="00AF201C" w:rsidRPr="003939A7">
        <w:rPr>
          <w:rFonts w:cs="Arial"/>
        </w:rPr>
        <w:t>G</w:t>
      </w:r>
      <w:r w:rsidRPr="003939A7">
        <w:rPr>
          <w:rFonts w:cs="Arial"/>
        </w:rPr>
        <w:t xml:space="preserve">roup at the end </w:t>
      </w:r>
      <w:r w:rsidR="002F0D62" w:rsidRPr="003939A7">
        <w:rPr>
          <w:rFonts w:cs="Arial"/>
        </w:rPr>
        <w:t>of</w:t>
      </w:r>
      <w:r w:rsidRPr="003939A7">
        <w:rPr>
          <w:rFonts w:cs="Arial"/>
        </w:rPr>
        <w:t xml:space="preserve"> the 10</w:t>
      </w:r>
      <w:r w:rsidR="007E2290" w:rsidRPr="003939A7">
        <w:rPr>
          <w:rFonts w:cs="Arial"/>
        </w:rPr>
        <w:t>-</w:t>
      </w:r>
      <w:r w:rsidRPr="003939A7">
        <w:rPr>
          <w:rFonts w:cs="Arial"/>
        </w:rPr>
        <w:t>week</w:t>
      </w:r>
      <w:r w:rsidR="007E2290" w:rsidRPr="003939A7">
        <w:rPr>
          <w:rFonts w:cs="Arial"/>
        </w:rPr>
        <w:t xml:space="preserve"> programme</w:t>
      </w:r>
      <w:r w:rsidR="00616E00" w:rsidRPr="003939A7">
        <w:rPr>
          <w:rFonts w:cs="Arial"/>
        </w:rPr>
        <w:t xml:space="preserve"> </w:t>
      </w:r>
      <w:r w:rsidRPr="003939A7">
        <w:rPr>
          <w:rFonts w:cs="Arial"/>
        </w:rPr>
        <w:t>he</w:t>
      </w:r>
      <w:r w:rsidR="007E2290" w:rsidRPr="003939A7">
        <w:rPr>
          <w:rFonts w:cs="Arial"/>
        </w:rPr>
        <w:t xml:space="preserve"> said that:</w:t>
      </w:r>
      <w:r w:rsidR="002F0D62" w:rsidRPr="003939A7">
        <w:rPr>
          <w:rFonts w:cs="Arial"/>
        </w:rPr>
        <w:t xml:space="preserve"> </w:t>
      </w:r>
      <w:r w:rsidRPr="003939A7">
        <w:rPr>
          <w:rFonts w:cs="Arial"/>
          <w:i/>
        </w:rPr>
        <w:t>“All the singing and all that</w:t>
      </w:r>
      <w:r w:rsidR="004F0157" w:rsidRPr="003939A7">
        <w:rPr>
          <w:rFonts w:cs="Arial"/>
          <w:i/>
        </w:rPr>
        <w:t>…</w:t>
      </w:r>
      <w:r w:rsidRPr="003939A7">
        <w:rPr>
          <w:rFonts w:cs="Arial"/>
          <w:i/>
        </w:rPr>
        <w:t>I find that really terribly frightening.  I mean, I love the history</w:t>
      </w:r>
      <w:r w:rsidR="002F0D62" w:rsidRPr="003939A7">
        <w:rPr>
          <w:rFonts w:cs="Arial"/>
          <w:i/>
        </w:rPr>
        <w:t>…</w:t>
      </w:r>
      <w:r w:rsidRPr="003939A7">
        <w:rPr>
          <w:rFonts w:cs="Arial"/>
          <w:i/>
        </w:rPr>
        <w:t>that’s why I wanted to come here.  But having to take part in all the dancing and singing and all that, I just found that so difficult, I just had to turn around and walk away.  I just couldn’t handle i</w:t>
      </w:r>
      <w:r w:rsidR="004F0157" w:rsidRPr="003939A7">
        <w:rPr>
          <w:rFonts w:cs="Arial"/>
          <w:i/>
        </w:rPr>
        <w:t>t</w:t>
      </w:r>
      <w:r w:rsidRPr="003939A7">
        <w:rPr>
          <w:rFonts w:cs="Arial"/>
          <w:i/>
        </w:rPr>
        <w:t>.”</w:t>
      </w:r>
      <w:r w:rsidRPr="003939A7">
        <w:rPr>
          <w:rFonts w:cs="Arial"/>
        </w:rPr>
        <w:t xml:space="preserve"> Yet </w:t>
      </w:r>
      <w:r w:rsidR="002F0D62" w:rsidRPr="003939A7">
        <w:rPr>
          <w:rFonts w:cs="Arial"/>
        </w:rPr>
        <w:t xml:space="preserve">reflecting upon this in the </w:t>
      </w:r>
      <w:r w:rsidR="00AF201C" w:rsidRPr="003939A7">
        <w:rPr>
          <w:rFonts w:cs="Arial"/>
        </w:rPr>
        <w:t>F</w:t>
      </w:r>
      <w:r w:rsidR="002F0D62" w:rsidRPr="003939A7">
        <w:rPr>
          <w:rFonts w:cs="Arial"/>
        </w:rPr>
        <w:t xml:space="preserve">ocus </w:t>
      </w:r>
      <w:r w:rsidR="00AF201C" w:rsidRPr="003939A7">
        <w:rPr>
          <w:rFonts w:cs="Arial"/>
        </w:rPr>
        <w:t>G</w:t>
      </w:r>
      <w:r w:rsidR="002F0D62" w:rsidRPr="003939A7">
        <w:rPr>
          <w:rFonts w:cs="Arial"/>
        </w:rPr>
        <w:t>roup at one</w:t>
      </w:r>
      <w:r w:rsidR="007E2290" w:rsidRPr="003939A7">
        <w:rPr>
          <w:rFonts w:cs="Arial"/>
        </w:rPr>
        <w:t>-</w:t>
      </w:r>
      <w:r w:rsidR="002F0D62" w:rsidRPr="003939A7">
        <w:rPr>
          <w:rFonts w:cs="Arial"/>
        </w:rPr>
        <w:t xml:space="preserve">year post involvement he </w:t>
      </w:r>
      <w:r w:rsidR="007E2290" w:rsidRPr="003939A7">
        <w:rPr>
          <w:rFonts w:cs="Arial"/>
        </w:rPr>
        <w:t>reflected that:</w:t>
      </w:r>
      <w:r w:rsidR="002F0D62" w:rsidRPr="003939A7">
        <w:rPr>
          <w:rFonts w:cs="Arial"/>
        </w:rPr>
        <w:t xml:space="preserve"> </w:t>
      </w:r>
      <w:r w:rsidRPr="003939A7">
        <w:rPr>
          <w:rFonts w:cs="Arial"/>
          <w:i/>
        </w:rPr>
        <w:t>“</w:t>
      </w:r>
      <w:r w:rsidR="007E2290" w:rsidRPr="003939A7">
        <w:rPr>
          <w:rFonts w:cs="Arial"/>
          <w:i/>
        </w:rPr>
        <w:t>O</w:t>
      </w:r>
      <w:r w:rsidRPr="003939A7">
        <w:rPr>
          <w:rFonts w:cs="Arial"/>
          <w:i/>
        </w:rPr>
        <w:t>ddly, I mean at the time, I just could not stand being in a group of absolute strangers and so many people, I just found that really, really difficult.  And then, I suppose sort of as time went on, I looked back and I thought, Oh, I do miss being there quite a bit, you know, even though I found it really, really difficult”</w:t>
      </w:r>
      <w:r w:rsidRPr="003939A7">
        <w:rPr>
          <w:rFonts w:cs="Arial"/>
        </w:rPr>
        <w:t>.</w:t>
      </w:r>
      <w:r w:rsidR="00ED75E6" w:rsidRPr="003939A7">
        <w:rPr>
          <w:rFonts w:cs="Arial"/>
        </w:rPr>
        <w:t xml:space="preserve"> </w:t>
      </w:r>
      <w:r w:rsidR="00DC34FA" w:rsidRPr="003939A7">
        <w:rPr>
          <w:rFonts w:cs="Arial"/>
        </w:rPr>
        <w:t>What was interesting for this gentleman was his reflection that the landscape influenced</w:t>
      </w:r>
      <w:r w:rsidR="00C26EE9" w:rsidRPr="003939A7">
        <w:rPr>
          <w:rFonts w:cs="Arial"/>
        </w:rPr>
        <w:t xml:space="preserve"> his experience of the Human Henge programme. The wide open space in which the programme was implemented provided him a sense of freedom to be </w:t>
      </w:r>
      <w:r w:rsidR="00DC34FA" w:rsidRPr="003939A7">
        <w:rPr>
          <w:rFonts w:cs="Arial"/>
        </w:rPr>
        <w:t>able to walk away from the group</w:t>
      </w:r>
      <w:r w:rsidR="00C26EE9" w:rsidRPr="003939A7">
        <w:rPr>
          <w:rFonts w:cs="Arial"/>
        </w:rPr>
        <w:t xml:space="preserve"> when he felt uncomfortable. However </w:t>
      </w:r>
      <w:r w:rsidR="00DC34FA" w:rsidRPr="003939A7">
        <w:rPr>
          <w:rFonts w:cs="Arial"/>
        </w:rPr>
        <w:t xml:space="preserve">his love of </w:t>
      </w:r>
      <w:r w:rsidR="00DC34FA" w:rsidRPr="003939A7">
        <w:rPr>
          <w:rFonts w:cs="Arial"/>
        </w:rPr>
        <w:lastRenderedPageBreak/>
        <w:t>history influenced his decision to remain on the programme</w:t>
      </w:r>
      <w:r w:rsidR="00C26EE9" w:rsidRPr="003939A7">
        <w:rPr>
          <w:rFonts w:cs="Arial"/>
        </w:rPr>
        <w:t xml:space="preserve"> and </w:t>
      </w:r>
      <w:r w:rsidR="00911EB9" w:rsidRPr="003939A7">
        <w:rPr>
          <w:rFonts w:cs="Arial"/>
        </w:rPr>
        <w:t xml:space="preserve">a year later he realised that he missed the </w:t>
      </w:r>
      <w:r w:rsidR="00C26EE9" w:rsidRPr="003939A7">
        <w:rPr>
          <w:rFonts w:cs="Arial"/>
        </w:rPr>
        <w:t xml:space="preserve">group aspect although at the time this was </w:t>
      </w:r>
      <w:r w:rsidR="00911EB9" w:rsidRPr="003939A7">
        <w:rPr>
          <w:rFonts w:cs="Arial"/>
        </w:rPr>
        <w:t>challenging</w:t>
      </w:r>
      <w:r w:rsidR="00C26EE9" w:rsidRPr="003939A7">
        <w:rPr>
          <w:rFonts w:cs="Arial"/>
        </w:rPr>
        <w:t xml:space="preserve"> for him</w:t>
      </w:r>
      <w:r w:rsidR="00DC34FA" w:rsidRPr="003939A7">
        <w:rPr>
          <w:rFonts w:cs="Arial"/>
        </w:rPr>
        <w:t xml:space="preserve">. </w:t>
      </w:r>
    </w:p>
    <w:p w14:paraId="3FB7181F" w14:textId="77777777" w:rsidR="00A15052" w:rsidRPr="003939A7" w:rsidRDefault="00A15052" w:rsidP="002F0D62">
      <w:pPr>
        <w:spacing w:after="0" w:line="360" w:lineRule="auto"/>
        <w:jc w:val="both"/>
        <w:rPr>
          <w:rFonts w:cs="Arial"/>
        </w:rPr>
      </w:pPr>
    </w:p>
    <w:p w14:paraId="6E253573" w14:textId="77777777" w:rsidR="0047137A" w:rsidRPr="003939A7" w:rsidRDefault="0047137A" w:rsidP="0047137A">
      <w:pPr>
        <w:spacing w:after="0" w:line="360" w:lineRule="auto"/>
        <w:jc w:val="both"/>
        <w:rPr>
          <w:rFonts w:cs="Arial"/>
        </w:rPr>
      </w:pPr>
      <w:r w:rsidRPr="003939A7">
        <w:rPr>
          <w:rFonts w:cs="Arial"/>
        </w:rPr>
        <w:t>It was evident that the impact of the 10</w:t>
      </w:r>
      <w:r w:rsidR="007E2290" w:rsidRPr="003939A7">
        <w:rPr>
          <w:rFonts w:cs="Arial"/>
        </w:rPr>
        <w:t>-</w:t>
      </w:r>
      <w:r w:rsidRPr="003939A7">
        <w:rPr>
          <w:rFonts w:cs="Arial"/>
        </w:rPr>
        <w:t xml:space="preserve">week programme had been so powerful on some participants that they expressed anxiety and fear regarding the potential repercussions on their mental health and well-being when the </w:t>
      </w:r>
      <w:r w:rsidR="00780864" w:rsidRPr="003939A7">
        <w:rPr>
          <w:rFonts w:cs="Arial"/>
        </w:rPr>
        <w:t>intervention</w:t>
      </w:r>
      <w:r w:rsidRPr="003939A7">
        <w:rPr>
          <w:rFonts w:cs="Arial"/>
        </w:rPr>
        <w:t xml:space="preserve"> came to an end. For some participants (particularly Groups 2 and 3) this was very difficult, and some of them became distressed during the focus group session. They were particularly worried about </w:t>
      </w:r>
      <w:r w:rsidR="007E2290" w:rsidRPr="003939A7">
        <w:rPr>
          <w:rFonts w:cs="Arial"/>
        </w:rPr>
        <w:t>losing</w:t>
      </w:r>
      <w:r w:rsidRPr="003939A7">
        <w:rPr>
          <w:rFonts w:cs="Arial"/>
        </w:rPr>
        <w:t xml:space="preserve"> the sense of belonging that had developed, the social acceptance that they felt within the group sessions, and the friendships they had made: </w:t>
      </w:r>
    </w:p>
    <w:p w14:paraId="248074F7" w14:textId="77777777" w:rsidR="0047137A" w:rsidRPr="003939A7" w:rsidRDefault="0047137A" w:rsidP="0047137A">
      <w:pPr>
        <w:spacing w:after="0" w:line="360" w:lineRule="auto"/>
        <w:ind w:left="720" w:right="720"/>
        <w:jc w:val="both"/>
        <w:rPr>
          <w:rFonts w:cs="Arial"/>
        </w:rPr>
      </w:pPr>
      <w:r w:rsidRPr="003939A7">
        <w:rPr>
          <w:rFonts w:cs="Arial"/>
          <w:i/>
        </w:rPr>
        <w:t xml:space="preserve">“I’m devastated it’s over. [Tearful] I don’t want this to finish” </w:t>
      </w:r>
      <w:r w:rsidRPr="003939A7">
        <w:rPr>
          <w:rFonts w:cs="Arial"/>
        </w:rPr>
        <w:t>(Female participant</w:t>
      </w:r>
      <w:r w:rsidR="007E2290" w:rsidRPr="003939A7">
        <w:rPr>
          <w:rFonts w:cs="Arial"/>
        </w:rPr>
        <w:t>,</w:t>
      </w:r>
      <w:r w:rsidRPr="003939A7">
        <w:rPr>
          <w:rFonts w:cs="Arial"/>
        </w:rPr>
        <w:t xml:space="preserve"> Gp2 Focus Group</w:t>
      </w:r>
      <w:r w:rsidR="007E2290" w:rsidRPr="003939A7">
        <w:rPr>
          <w:rFonts w:cs="Arial"/>
        </w:rPr>
        <w:t>,</w:t>
      </w:r>
      <w:r w:rsidRPr="003939A7">
        <w:rPr>
          <w:rFonts w:cs="Arial"/>
        </w:rPr>
        <w:t xml:space="preserve"> end of </w:t>
      </w:r>
      <w:r w:rsidR="004F0157" w:rsidRPr="003939A7">
        <w:rPr>
          <w:rFonts w:cs="Arial"/>
        </w:rPr>
        <w:t>10 weeks</w:t>
      </w:r>
      <w:r w:rsidRPr="003939A7">
        <w:rPr>
          <w:rFonts w:cs="Arial"/>
        </w:rPr>
        <w:t>)</w:t>
      </w:r>
    </w:p>
    <w:p w14:paraId="6F13E8B1" w14:textId="77777777" w:rsidR="0047137A" w:rsidRPr="003939A7" w:rsidRDefault="0047137A" w:rsidP="0047137A">
      <w:pPr>
        <w:spacing w:after="0" w:line="360" w:lineRule="auto"/>
        <w:ind w:left="720" w:right="720"/>
        <w:jc w:val="both"/>
        <w:rPr>
          <w:rFonts w:cs="Arial"/>
        </w:rPr>
      </w:pPr>
      <w:r w:rsidRPr="003939A7">
        <w:rPr>
          <w:rFonts w:cs="Arial"/>
          <w:i/>
        </w:rPr>
        <w:t xml:space="preserve">“And I just think it’s a bit hard that they're just robbing it from us and taking it all away, because after this, like **** </w:t>
      </w:r>
      <w:r w:rsidR="007E2290" w:rsidRPr="003939A7">
        <w:rPr>
          <w:rFonts w:cs="Arial"/>
          <w:i/>
        </w:rPr>
        <w:t>[</w:t>
      </w:r>
      <w:r w:rsidRPr="003939A7">
        <w:rPr>
          <w:rFonts w:cs="Arial"/>
          <w:i/>
        </w:rPr>
        <w:t xml:space="preserve">participant name] said, at that week where you didn't have it, it was hard.  It was a hard week.  You, know, because you had nothing else.  But now it's going to be gone and I feel like some of you I'll probably never see again, and I don't want that </w:t>
      </w:r>
      <w:r w:rsidRPr="003939A7">
        <w:rPr>
          <w:rFonts w:cs="Arial"/>
        </w:rPr>
        <w:t>(Female participant</w:t>
      </w:r>
      <w:r w:rsidR="007E2290" w:rsidRPr="003939A7">
        <w:rPr>
          <w:rFonts w:cs="Arial"/>
        </w:rPr>
        <w:t>,</w:t>
      </w:r>
      <w:r w:rsidRPr="003939A7">
        <w:rPr>
          <w:rFonts w:cs="Arial"/>
        </w:rPr>
        <w:t xml:space="preserve"> Gp3 Focus Group</w:t>
      </w:r>
      <w:r w:rsidR="007E2290" w:rsidRPr="003939A7">
        <w:rPr>
          <w:rFonts w:cs="Arial"/>
        </w:rPr>
        <w:t>,</w:t>
      </w:r>
      <w:r w:rsidRPr="003939A7">
        <w:rPr>
          <w:rFonts w:cs="Arial"/>
        </w:rPr>
        <w:t xml:space="preserve"> end of </w:t>
      </w:r>
      <w:r w:rsidR="004F0157" w:rsidRPr="003939A7">
        <w:rPr>
          <w:rFonts w:cs="Arial"/>
        </w:rPr>
        <w:t>10 weeks</w:t>
      </w:r>
      <w:r w:rsidRPr="003939A7">
        <w:rPr>
          <w:rFonts w:cs="Arial"/>
        </w:rPr>
        <w:t xml:space="preserve">).  </w:t>
      </w:r>
      <w:r w:rsidRPr="003939A7">
        <w:rPr>
          <w:rFonts w:cs="Arial"/>
        </w:rPr>
        <w:tab/>
      </w:r>
    </w:p>
    <w:p w14:paraId="69D2BAA5" w14:textId="77777777" w:rsidR="007E65D7" w:rsidRPr="003939A7" w:rsidRDefault="008147CC" w:rsidP="002F0D62">
      <w:pPr>
        <w:spacing w:after="0" w:line="360" w:lineRule="auto"/>
        <w:jc w:val="both"/>
        <w:rPr>
          <w:rFonts w:cs="Arial"/>
        </w:rPr>
      </w:pPr>
      <w:r w:rsidRPr="003939A7">
        <w:rPr>
          <w:rFonts w:cs="Arial"/>
        </w:rPr>
        <w:t>At the one</w:t>
      </w:r>
      <w:r w:rsidR="007E2290" w:rsidRPr="003939A7">
        <w:rPr>
          <w:rFonts w:cs="Arial"/>
        </w:rPr>
        <w:t>-</w:t>
      </w:r>
      <w:r w:rsidRPr="003939A7">
        <w:rPr>
          <w:rFonts w:cs="Arial"/>
        </w:rPr>
        <w:t>year post in</w:t>
      </w:r>
      <w:r w:rsidR="00A15052" w:rsidRPr="003939A7">
        <w:rPr>
          <w:rFonts w:cs="Arial"/>
        </w:rPr>
        <w:t xml:space="preserve">terventions the </w:t>
      </w:r>
      <w:r w:rsidR="00ED4B0B" w:rsidRPr="003939A7">
        <w:rPr>
          <w:rFonts w:cs="Arial"/>
        </w:rPr>
        <w:t>ongoing</w:t>
      </w:r>
      <w:r w:rsidR="00A15052" w:rsidRPr="003939A7">
        <w:rPr>
          <w:rFonts w:cs="Arial"/>
        </w:rPr>
        <w:t xml:space="preserve"> experiences </w:t>
      </w:r>
      <w:r w:rsidR="00ED4B0B" w:rsidRPr="003939A7">
        <w:rPr>
          <w:rFonts w:cs="Arial"/>
        </w:rPr>
        <w:t>o</w:t>
      </w:r>
      <w:r w:rsidR="00A15052" w:rsidRPr="003939A7">
        <w:rPr>
          <w:rFonts w:cs="Arial"/>
        </w:rPr>
        <w:t>f the three groups were different</w:t>
      </w:r>
      <w:r w:rsidR="007E2290" w:rsidRPr="003939A7">
        <w:rPr>
          <w:rFonts w:cs="Arial"/>
        </w:rPr>
        <w:t>.</w:t>
      </w:r>
      <w:r w:rsidR="00A15052" w:rsidRPr="003939A7">
        <w:rPr>
          <w:rFonts w:cs="Arial"/>
        </w:rPr>
        <w:t xml:space="preserve"> </w:t>
      </w:r>
      <w:r w:rsidR="007E2290" w:rsidRPr="003939A7">
        <w:rPr>
          <w:rFonts w:cs="Arial"/>
        </w:rPr>
        <w:t>G</w:t>
      </w:r>
      <w:r w:rsidR="00A15052" w:rsidRPr="003939A7">
        <w:rPr>
          <w:rFonts w:cs="Arial"/>
        </w:rPr>
        <w:t xml:space="preserve">roup </w:t>
      </w:r>
      <w:r w:rsidRPr="003939A7">
        <w:rPr>
          <w:rFonts w:cs="Arial"/>
        </w:rPr>
        <w:t>1 ha</w:t>
      </w:r>
      <w:r w:rsidR="00F81AD3" w:rsidRPr="003939A7">
        <w:rPr>
          <w:rFonts w:cs="Arial"/>
        </w:rPr>
        <w:t>d</w:t>
      </w:r>
      <w:r w:rsidRPr="003939A7">
        <w:rPr>
          <w:rFonts w:cs="Arial"/>
        </w:rPr>
        <w:t xml:space="preserve"> not really stayed </w:t>
      </w:r>
      <w:r w:rsidR="008D496B" w:rsidRPr="003939A7">
        <w:rPr>
          <w:rFonts w:cs="Arial"/>
        </w:rPr>
        <w:t>connected;</w:t>
      </w:r>
      <w:r w:rsidRPr="003939A7">
        <w:rPr>
          <w:rFonts w:cs="Arial"/>
        </w:rPr>
        <w:t xml:space="preserve"> instead they reverted back to their previous Richmond Fellowship groups. That said</w:t>
      </w:r>
      <w:r w:rsidR="00F81AD3" w:rsidRPr="003939A7">
        <w:rPr>
          <w:rFonts w:cs="Arial"/>
        </w:rPr>
        <w:t>,</w:t>
      </w:r>
      <w:r w:rsidRPr="003939A7">
        <w:rPr>
          <w:rFonts w:cs="Arial"/>
        </w:rPr>
        <w:t xml:space="preserve"> they had increased their social engagement with others, one had joined a local mental health support group, another had reconnected more strongly with his children</w:t>
      </w:r>
      <w:r w:rsidR="007E2290" w:rsidRPr="003939A7">
        <w:rPr>
          <w:rFonts w:cs="Arial"/>
        </w:rPr>
        <w:t>,</w:t>
      </w:r>
      <w:r w:rsidRPr="003939A7">
        <w:rPr>
          <w:rFonts w:cs="Arial"/>
        </w:rPr>
        <w:t xml:space="preserve"> and a third recogni</w:t>
      </w:r>
      <w:r w:rsidR="00C84E46" w:rsidRPr="003939A7">
        <w:rPr>
          <w:rFonts w:cs="Arial"/>
        </w:rPr>
        <w:t>z</w:t>
      </w:r>
      <w:r w:rsidRPr="003939A7">
        <w:rPr>
          <w:rFonts w:cs="Arial"/>
        </w:rPr>
        <w:t xml:space="preserve">ed he was becoming much more social since his engagement with Human Henge. Group 2 had established </w:t>
      </w:r>
      <w:r w:rsidR="007E2290" w:rsidRPr="003939A7">
        <w:rPr>
          <w:rFonts w:cs="Arial"/>
        </w:rPr>
        <w:t xml:space="preserve">a </w:t>
      </w:r>
      <w:r w:rsidRPr="003939A7">
        <w:rPr>
          <w:rFonts w:cs="Arial"/>
        </w:rPr>
        <w:t>more formal mechanism for continued connection through a social media group as well as ongoing group activities organi</w:t>
      </w:r>
      <w:r w:rsidR="00C84E46" w:rsidRPr="003939A7">
        <w:rPr>
          <w:rFonts w:cs="Arial"/>
        </w:rPr>
        <w:t>z</w:t>
      </w:r>
      <w:r w:rsidRPr="003939A7">
        <w:rPr>
          <w:rFonts w:cs="Arial"/>
        </w:rPr>
        <w:t xml:space="preserve">ed separately but in conjunction with the Human Henge project team. </w:t>
      </w:r>
      <w:r w:rsidR="00A15052" w:rsidRPr="003939A7">
        <w:rPr>
          <w:rFonts w:cs="Arial"/>
        </w:rPr>
        <w:t>Group 3 had establish</w:t>
      </w:r>
      <w:r w:rsidR="00ED4B0B" w:rsidRPr="003939A7">
        <w:rPr>
          <w:rFonts w:cs="Arial"/>
        </w:rPr>
        <w:t>ed</w:t>
      </w:r>
      <w:r w:rsidR="00A15052" w:rsidRPr="003939A7">
        <w:rPr>
          <w:rFonts w:cs="Arial"/>
        </w:rPr>
        <w:t xml:space="preserve"> </w:t>
      </w:r>
      <w:r w:rsidR="00C84E46" w:rsidRPr="003939A7">
        <w:rPr>
          <w:rFonts w:cs="Arial"/>
        </w:rPr>
        <w:t>small</w:t>
      </w:r>
      <w:r w:rsidR="00A15052" w:rsidRPr="003939A7">
        <w:rPr>
          <w:rFonts w:cs="Arial"/>
        </w:rPr>
        <w:t xml:space="preserve"> friendship groups that remained even </w:t>
      </w:r>
      <w:r w:rsidR="007E2290" w:rsidRPr="003939A7">
        <w:rPr>
          <w:rFonts w:cs="Arial"/>
        </w:rPr>
        <w:t>one-</w:t>
      </w:r>
      <w:r w:rsidR="00A15052" w:rsidRPr="003939A7">
        <w:rPr>
          <w:rFonts w:cs="Arial"/>
        </w:rPr>
        <w:t xml:space="preserve">year </w:t>
      </w:r>
      <w:r w:rsidR="00ED4B0B" w:rsidRPr="003939A7">
        <w:rPr>
          <w:rFonts w:cs="Arial"/>
        </w:rPr>
        <w:t>post</w:t>
      </w:r>
      <w:r w:rsidR="00A15052" w:rsidRPr="003939A7">
        <w:rPr>
          <w:rFonts w:cs="Arial"/>
        </w:rPr>
        <w:t xml:space="preserve"> </w:t>
      </w:r>
      <w:r w:rsidR="00ED4B0B" w:rsidRPr="003939A7">
        <w:rPr>
          <w:rFonts w:cs="Arial"/>
        </w:rPr>
        <w:t>intervention</w:t>
      </w:r>
      <w:r w:rsidR="00A15052" w:rsidRPr="003939A7">
        <w:rPr>
          <w:rFonts w:cs="Arial"/>
        </w:rPr>
        <w:t xml:space="preserve">. </w:t>
      </w:r>
    </w:p>
    <w:p w14:paraId="544F3EF5" w14:textId="77777777" w:rsidR="00ED4B0B" w:rsidRPr="003939A7" w:rsidRDefault="00ED4B0B" w:rsidP="002F0D62">
      <w:pPr>
        <w:spacing w:after="0" w:line="360" w:lineRule="auto"/>
        <w:jc w:val="both"/>
        <w:rPr>
          <w:rFonts w:cs="Arial"/>
        </w:rPr>
      </w:pPr>
    </w:p>
    <w:p w14:paraId="7F2F0FDF" w14:textId="77777777" w:rsidR="00FB43FA" w:rsidRPr="003939A7" w:rsidRDefault="00FB43FA" w:rsidP="00FB43FA">
      <w:pPr>
        <w:spacing w:after="0" w:line="360" w:lineRule="auto"/>
        <w:jc w:val="both"/>
        <w:rPr>
          <w:rFonts w:cs="Arial"/>
        </w:rPr>
      </w:pPr>
      <w:r w:rsidRPr="003939A7">
        <w:rPr>
          <w:rFonts w:cs="Arial"/>
        </w:rPr>
        <w:t xml:space="preserve">In addition to connecting with people, there was also a re-connection to </w:t>
      </w:r>
      <w:r w:rsidR="00425B83" w:rsidRPr="003939A7">
        <w:rPr>
          <w:rFonts w:cs="Arial"/>
        </w:rPr>
        <w:t xml:space="preserve">place, established through </w:t>
      </w:r>
      <w:r w:rsidR="00804A85" w:rsidRPr="003939A7">
        <w:rPr>
          <w:rFonts w:cs="Arial"/>
        </w:rPr>
        <w:t>exploring</w:t>
      </w:r>
      <w:r w:rsidR="00425B83" w:rsidRPr="003939A7">
        <w:rPr>
          <w:rFonts w:cs="Arial"/>
        </w:rPr>
        <w:t xml:space="preserve"> </w:t>
      </w:r>
      <w:r w:rsidRPr="003939A7">
        <w:rPr>
          <w:rFonts w:cs="Arial"/>
        </w:rPr>
        <w:t xml:space="preserve">their local area and landscape. These connections had previously become fractured as a result of their mental illness, </w:t>
      </w:r>
      <w:r w:rsidR="00804A85" w:rsidRPr="003939A7">
        <w:rPr>
          <w:rFonts w:cs="Arial"/>
        </w:rPr>
        <w:t xml:space="preserve">mainly </w:t>
      </w:r>
      <w:r w:rsidRPr="003939A7">
        <w:rPr>
          <w:rFonts w:cs="Arial"/>
        </w:rPr>
        <w:t>due to unhappy memories associated with time and place as well as poor experiences of feeling discriminated and stigmati</w:t>
      </w:r>
      <w:r w:rsidR="00C84E46" w:rsidRPr="003939A7">
        <w:rPr>
          <w:rFonts w:cs="Arial"/>
        </w:rPr>
        <w:t>z</w:t>
      </w:r>
      <w:r w:rsidRPr="003939A7">
        <w:rPr>
          <w:rFonts w:cs="Arial"/>
        </w:rPr>
        <w:t xml:space="preserve">ed </w:t>
      </w:r>
      <w:r w:rsidR="00804A85" w:rsidRPr="003939A7">
        <w:rPr>
          <w:rFonts w:cs="Arial"/>
        </w:rPr>
        <w:t>because of</w:t>
      </w:r>
      <w:r w:rsidRPr="003939A7">
        <w:rPr>
          <w:rFonts w:cs="Arial"/>
        </w:rPr>
        <w:t xml:space="preserve"> their mental illness</w:t>
      </w:r>
      <w:r w:rsidR="00804A85" w:rsidRPr="003939A7">
        <w:rPr>
          <w:rFonts w:cs="Arial"/>
        </w:rPr>
        <w:t>,</w:t>
      </w:r>
      <w:r w:rsidRPr="003939A7">
        <w:rPr>
          <w:rFonts w:cs="Arial"/>
        </w:rPr>
        <w:t xml:space="preserve"> both of which culminated in them isolating themselves from others</w:t>
      </w:r>
      <w:r w:rsidR="007E65D7" w:rsidRPr="003939A7">
        <w:rPr>
          <w:rFonts w:cs="Arial"/>
        </w:rPr>
        <w:t>:</w:t>
      </w:r>
      <w:r w:rsidRPr="003939A7">
        <w:rPr>
          <w:rFonts w:cs="Arial"/>
        </w:rPr>
        <w:t xml:space="preserve"> </w:t>
      </w:r>
    </w:p>
    <w:p w14:paraId="4B80DA2B" w14:textId="77777777" w:rsidR="00A15052" w:rsidRPr="003939A7" w:rsidRDefault="00A15052" w:rsidP="00ED4B0B">
      <w:pPr>
        <w:spacing w:after="0" w:line="360" w:lineRule="auto"/>
        <w:ind w:left="720" w:right="720"/>
        <w:jc w:val="both"/>
        <w:rPr>
          <w:rFonts w:cs="Arial"/>
          <w:i/>
        </w:rPr>
      </w:pPr>
      <w:r w:rsidRPr="003939A7">
        <w:rPr>
          <w:rFonts w:cs="Arial"/>
          <w:i/>
        </w:rPr>
        <w:lastRenderedPageBreak/>
        <w:t xml:space="preserve">“Helped me connect with local people socially and local places with happy memories. Feeling more connected with Wiltshire and feeling like I have a place to be/belong in Wiltshire” (Female </w:t>
      </w:r>
      <w:r w:rsidR="00AF201C" w:rsidRPr="003939A7">
        <w:rPr>
          <w:rFonts w:cs="Arial"/>
          <w:i/>
        </w:rPr>
        <w:t>p</w:t>
      </w:r>
      <w:r w:rsidRPr="003939A7">
        <w:rPr>
          <w:rFonts w:cs="Arial"/>
          <w:i/>
        </w:rPr>
        <w:t>articipant</w:t>
      </w:r>
      <w:r w:rsidR="00804A85" w:rsidRPr="003939A7">
        <w:rPr>
          <w:rFonts w:cs="Arial"/>
          <w:i/>
        </w:rPr>
        <w:t>,</w:t>
      </w:r>
      <w:r w:rsidRPr="003939A7">
        <w:rPr>
          <w:rFonts w:cs="Arial"/>
          <w:i/>
        </w:rPr>
        <w:t xml:space="preserve"> Gp 2, one</w:t>
      </w:r>
      <w:r w:rsidR="00804A85" w:rsidRPr="003939A7">
        <w:rPr>
          <w:rFonts w:cs="Arial"/>
          <w:i/>
        </w:rPr>
        <w:t>-</w:t>
      </w:r>
      <w:r w:rsidRPr="003939A7">
        <w:rPr>
          <w:rFonts w:cs="Arial"/>
          <w:i/>
        </w:rPr>
        <w:t>year post intervention</w:t>
      </w:r>
      <w:r w:rsidR="00804A85" w:rsidRPr="003939A7">
        <w:rPr>
          <w:rFonts w:cs="Arial"/>
          <w:i/>
        </w:rPr>
        <w:t>)</w:t>
      </w:r>
      <w:r w:rsidR="00ED4B0B" w:rsidRPr="003939A7">
        <w:rPr>
          <w:rFonts w:cs="Arial"/>
          <w:i/>
        </w:rPr>
        <w:t>”</w:t>
      </w:r>
    </w:p>
    <w:p w14:paraId="293E7CB6" w14:textId="77777777" w:rsidR="004F0157" w:rsidRPr="003939A7" w:rsidRDefault="004F0157" w:rsidP="00876312">
      <w:pPr>
        <w:spacing w:after="0" w:line="360" w:lineRule="auto"/>
        <w:jc w:val="both"/>
        <w:rPr>
          <w:rFonts w:cs="Arial"/>
        </w:rPr>
      </w:pPr>
    </w:p>
    <w:p w14:paraId="5D432AD5" w14:textId="77777777" w:rsidR="0047137A" w:rsidRPr="003939A7" w:rsidRDefault="00ED75E6" w:rsidP="00876312">
      <w:pPr>
        <w:spacing w:after="0" w:line="360" w:lineRule="auto"/>
        <w:jc w:val="both"/>
        <w:rPr>
          <w:rFonts w:cs="Arial"/>
        </w:rPr>
      </w:pPr>
      <w:r w:rsidRPr="003939A7">
        <w:rPr>
          <w:rFonts w:cs="Arial"/>
        </w:rPr>
        <w:t xml:space="preserve">In addition to reconnections with people and place, participants </w:t>
      </w:r>
      <w:r w:rsidR="0047137A" w:rsidRPr="003939A7">
        <w:rPr>
          <w:rFonts w:cs="Arial"/>
        </w:rPr>
        <w:t xml:space="preserve">also found themselves </w:t>
      </w:r>
      <w:r w:rsidRPr="003939A7">
        <w:rPr>
          <w:rFonts w:cs="Arial"/>
        </w:rPr>
        <w:t>reconnect</w:t>
      </w:r>
      <w:r w:rsidR="0047137A" w:rsidRPr="003939A7">
        <w:rPr>
          <w:rFonts w:cs="Arial"/>
        </w:rPr>
        <w:t>ing</w:t>
      </w:r>
      <w:r w:rsidR="00F81AD3" w:rsidRPr="003939A7">
        <w:rPr>
          <w:rFonts w:cs="Arial"/>
        </w:rPr>
        <w:t xml:space="preserve"> with</w:t>
      </w:r>
      <w:r w:rsidR="00425B83" w:rsidRPr="003939A7">
        <w:rPr>
          <w:rFonts w:cs="Arial"/>
        </w:rPr>
        <w:t xml:space="preserve"> hobbies that they had lost when they became ill </w:t>
      </w:r>
      <w:r w:rsidR="0047137A" w:rsidRPr="003939A7">
        <w:rPr>
          <w:rFonts w:cs="Arial"/>
        </w:rPr>
        <w:t xml:space="preserve">(history, photography, love of nature) </w:t>
      </w:r>
      <w:r w:rsidR="00804A85" w:rsidRPr="003939A7">
        <w:rPr>
          <w:rFonts w:cs="Arial"/>
        </w:rPr>
        <w:t>and</w:t>
      </w:r>
      <w:r w:rsidR="00425B83" w:rsidRPr="003939A7">
        <w:rPr>
          <w:rFonts w:cs="Arial"/>
        </w:rPr>
        <w:t xml:space="preserve"> </w:t>
      </w:r>
      <w:r w:rsidR="00804A85" w:rsidRPr="003939A7">
        <w:rPr>
          <w:rFonts w:cs="Arial"/>
        </w:rPr>
        <w:t>also</w:t>
      </w:r>
      <w:r w:rsidR="0047137A" w:rsidRPr="003939A7">
        <w:rPr>
          <w:rFonts w:cs="Arial"/>
        </w:rPr>
        <w:t xml:space="preserve"> </w:t>
      </w:r>
      <w:r w:rsidR="00425B83" w:rsidRPr="003939A7">
        <w:rPr>
          <w:rFonts w:cs="Arial"/>
        </w:rPr>
        <w:t>connections to new hobbies including poetry</w:t>
      </w:r>
      <w:r w:rsidR="0047137A" w:rsidRPr="003939A7">
        <w:rPr>
          <w:rFonts w:cs="Arial"/>
        </w:rPr>
        <w:t>:</w:t>
      </w:r>
    </w:p>
    <w:p w14:paraId="74CF099D" w14:textId="77777777" w:rsidR="0047137A" w:rsidRPr="003939A7" w:rsidRDefault="002A500E" w:rsidP="00804A85">
      <w:pPr>
        <w:spacing w:after="0" w:line="360" w:lineRule="auto"/>
        <w:ind w:left="720" w:right="720"/>
        <w:jc w:val="both"/>
        <w:rPr>
          <w:rFonts w:cs="Arial"/>
          <w:i/>
        </w:rPr>
      </w:pPr>
      <w:r w:rsidRPr="003939A7">
        <w:t xml:space="preserve"> </w:t>
      </w:r>
      <w:r w:rsidR="0047137A" w:rsidRPr="003939A7">
        <w:rPr>
          <w:rFonts w:cs="Arial"/>
          <w:i/>
        </w:rPr>
        <w:t>“… my past work and life and interests would be outside and working in exciting projects in nature.  And because of things going on I couldn't do that.  I just couldn't cope with it.  And I think Human Henge has just been key to allowing me to kind of re-access the things that I enjoy without the contamination”</w:t>
      </w:r>
      <w:r w:rsidR="0047137A" w:rsidRPr="003939A7">
        <w:rPr>
          <w:rFonts w:cs="Arial"/>
        </w:rPr>
        <w:t xml:space="preserve"> </w:t>
      </w:r>
      <w:r w:rsidR="0047137A" w:rsidRPr="003939A7">
        <w:rPr>
          <w:rFonts w:cs="Arial"/>
          <w:i/>
        </w:rPr>
        <w:t>(Male participant</w:t>
      </w:r>
      <w:r w:rsidR="00804A85" w:rsidRPr="003939A7">
        <w:rPr>
          <w:rFonts w:cs="Arial"/>
          <w:i/>
        </w:rPr>
        <w:t>,</w:t>
      </w:r>
      <w:r w:rsidR="0047137A" w:rsidRPr="003939A7">
        <w:rPr>
          <w:rFonts w:cs="Arial"/>
          <w:i/>
        </w:rPr>
        <w:t xml:space="preserve"> Gp2 Focus </w:t>
      </w:r>
      <w:r w:rsidR="00AF201C" w:rsidRPr="003939A7">
        <w:rPr>
          <w:rFonts w:cs="Arial"/>
          <w:i/>
        </w:rPr>
        <w:t>G</w:t>
      </w:r>
      <w:r w:rsidR="0047137A" w:rsidRPr="003939A7">
        <w:rPr>
          <w:rFonts w:cs="Arial"/>
          <w:i/>
        </w:rPr>
        <w:t>roup</w:t>
      </w:r>
      <w:r w:rsidR="00804A85" w:rsidRPr="003939A7">
        <w:rPr>
          <w:rFonts w:cs="Arial"/>
          <w:i/>
        </w:rPr>
        <w:t>,</w:t>
      </w:r>
      <w:r w:rsidR="0047137A" w:rsidRPr="003939A7">
        <w:rPr>
          <w:rFonts w:cs="Arial"/>
          <w:i/>
        </w:rPr>
        <w:t xml:space="preserve"> </w:t>
      </w:r>
      <w:r w:rsidR="00804A85" w:rsidRPr="003939A7">
        <w:rPr>
          <w:rFonts w:cs="Arial"/>
          <w:i/>
        </w:rPr>
        <w:t>one-</w:t>
      </w:r>
      <w:r w:rsidR="0047137A" w:rsidRPr="003939A7">
        <w:rPr>
          <w:rFonts w:cs="Arial"/>
          <w:i/>
        </w:rPr>
        <w:t xml:space="preserve">year post </w:t>
      </w:r>
      <w:r w:rsidR="00A15052" w:rsidRPr="003939A7">
        <w:rPr>
          <w:rFonts w:cs="Arial"/>
          <w:i/>
        </w:rPr>
        <w:t>intervention</w:t>
      </w:r>
      <w:r w:rsidR="0047137A" w:rsidRPr="003939A7">
        <w:rPr>
          <w:rFonts w:cs="Arial"/>
          <w:i/>
        </w:rPr>
        <w:t>)</w:t>
      </w:r>
    </w:p>
    <w:p w14:paraId="45B0BCE1" w14:textId="77777777" w:rsidR="00425B83" w:rsidRPr="003939A7" w:rsidRDefault="00425B83" w:rsidP="00876312">
      <w:pPr>
        <w:spacing w:after="0" w:line="360" w:lineRule="auto"/>
        <w:jc w:val="both"/>
        <w:rPr>
          <w:rFonts w:cs="Arial"/>
        </w:rPr>
      </w:pPr>
    </w:p>
    <w:p w14:paraId="284ACC7F" w14:textId="77777777" w:rsidR="00E06E4C" w:rsidRPr="003939A7" w:rsidRDefault="00E06E4C" w:rsidP="00ED16F9">
      <w:pPr>
        <w:pStyle w:val="ListParagraph"/>
        <w:numPr>
          <w:ilvl w:val="2"/>
          <w:numId w:val="13"/>
        </w:numPr>
        <w:spacing w:after="0" w:line="360" w:lineRule="auto"/>
        <w:jc w:val="both"/>
        <w:rPr>
          <w:rFonts w:cs="Arial"/>
          <w:i/>
        </w:rPr>
      </w:pPr>
      <w:r w:rsidRPr="003939A7">
        <w:rPr>
          <w:rFonts w:cs="Arial"/>
          <w:i/>
        </w:rPr>
        <w:t>Being me</w:t>
      </w:r>
    </w:p>
    <w:p w14:paraId="5893E5EC" w14:textId="77777777" w:rsidR="00FB43FA" w:rsidRPr="003939A7" w:rsidRDefault="004240DF" w:rsidP="00FB43FA">
      <w:pPr>
        <w:spacing w:after="0" w:line="360" w:lineRule="auto"/>
        <w:jc w:val="both"/>
        <w:rPr>
          <w:rFonts w:cs="Arial"/>
        </w:rPr>
      </w:pPr>
      <w:r w:rsidRPr="003939A7">
        <w:rPr>
          <w:rFonts w:cs="Arial"/>
        </w:rPr>
        <w:t xml:space="preserve">It was clearly evident that most </w:t>
      </w:r>
      <w:r w:rsidR="00381A00" w:rsidRPr="003939A7">
        <w:rPr>
          <w:rFonts w:cs="Arial"/>
        </w:rPr>
        <w:t>o</w:t>
      </w:r>
      <w:r w:rsidRPr="003939A7">
        <w:rPr>
          <w:rFonts w:cs="Arial"/>
        </w:rPr>
        <w:t xml:space="preserve">f the </w:t>
      </w:r>
      <w:r w:rsidR="00381A00" w:rsidRPr="003939A7">
        <w:rPr>
          <w:rFonts w:cs="Arial"/>
        </w:rPr>
        <w:t xml:space="preserve">participants </w:t>
      </w:r>
      <w:r w:rsidR="00423F34" w:rsidRPr="003939A7">
        <w:rPr>
          <w:rFonts w:cs="Arial"/>
        </w:rPr>
        <w:t>found it</w:t>
      </w:r>
      <w:r w:rsidRPr="003939A7">
        <w:rPr>
          <w:rFonts w:cs="Arial"/>
        </w:rPr>
        <w:t xml:space="preserve"> difficult </w:t>
      </w:r>
      <w:r w:rsidR="00381A00" w:rsidRPr="003939A7">
        <w:rPr>
          <w:rFonts w:cs="Arial"/>
        </w:rPr>
        <w:t>living</w:t>
      </w:r>
      <w:r w:rsidRPr="003939A7">
        <w:rPr>
          <w:rFonts w:cs="Arial"/>
        </w:rPr>
        <w:t xml:space="preserve"> in society with their mental illness, they felt judged and discriminated </w:t>
      </w:r>
      <w:r w:rsidR="00381A00" w:rsidRPr="003939A7">
        <w:rPr>
          <w:rFonts w:cs="Arial"/>
        </w:rPr>
        <w:t>against</w:t>
      </w:r>
      <w:r w:rsidRPr="003939A7">
        <w:rPr>
          <w:rFonts w:cs="Arial"/>
        </w:rPr>
        <w:t xml:space="preserve"> and responded to this by further </w:t>
      </w:r>
      <w:r w:rsidR="00381A00" w:rsidRPr="003939A7">
        <w:rPr>
          <w:rFonts w:cs="Arial"/>
        </w:rPr>
        <w:t>isolating</w:t>
      </w:r>
      <w:r w:rsidRPr="003939A7">
        <w:rPr>
          <w:rFonts w:cs="Arial"/>
        </w:rPr>
        <w:t xml:space="preserve"> themselves. The</w:t>
      </w:r>
      <w:r w:rsidR="007D2537" w:rsidRPr="003939A7">
        <w:rPr>
          <w:rFonts w:cs="Arial"/>
        </w:rPr>
        <w:t>y</w:t>
      </w:r>
      <w:r w:rsidRPr="003939A7">
        <w:rPr>
          <w:rFonts w:cs="Arial"/>
        </w:rPr>
        <w:t xml:space="preserve"> spoke of having t</w:t>
      </w:r>
      <w:r w:rsidR="00381A00" w:rsidRPr="003939A7">
        <w:rPr>
          <w:rFonts w:cs="Arial"/>
        </w:rPr>
        <w:t>o</w:t>
      </w:r>
      <w:r w:rsidRPr="003939A7">
        <w:rPr>
          <w:rFonts w:cs="Arial"/>
        </w:rPr>
        <w:t xml:space="preserve"> act in a certain way when </w:t>
      </w:r>
      <w:r w:rsidR="00EC595D" w:rsidRPr="003939A7">
        <w:rPr>
          <w:rFonts w:cs="Arial"/>
        </w:rPr>
        <w:t>out in the community</w:t>
      </w:r>
      <w:r w:rsidR="007D2537" w:rsidRPr="003939A7">
        <w:rPr>
          <w:rFonts w:cs="Arial"/>
        </w:rPr>
        <w:t xml:space="preserve">. By </w:t>
      </w:r>
      <w:r w:rsidRPr="003939A7">
        <w:rPr>
          <w:rFonts w:cs="Arial"/>
        </w:rPr>
        <w:t>con</w:t>
      </w:r>
      <w:r w:rsidR="00381A00" w:rsidRPr="003939A7">
        <w:rPr>
          <w:rFonts w:cs="Arial"/>
        </w:rPr>
        <w:t>trast</w:t>
      </w:r>
      <w:r w:rsidR="00EC595D" w:rsidRPr="003939A7">
        <w:rPr>
          <w:rFonts w:cs="Arial"/>
        </w:rPr>
        <w:t>,</w:t>
      </w:r>
      <w:r w:rsidRPr="003939A7">
        <w:rPr>
          <w:rFonts w:cs="Arial"/>
        </w:rPr>
        <w:t xml:space="preserve"> they expressed being able to be themselves </w:t>
      </w:r>
      <w:r w:rsidR="00EC595D" w:rsidRPr="003939A7">
        <w:rPr>
          <w:rFonts w:cs="Arial"/>
        </w:rPr>
        <w:t>during</w:t>
      </w:r>
      <w:r w:rsidR="007D2537" w:rsidRPr="003939A7">
        <w:rPr>
          <w:rFonts w:cs="Arial"/>
        </w:rPr>
        <w:t xml:space="preserve"> the Human Henge </w:t>
      </w:r>
      <w:r w:rsidR="00EC595D" w:rsidRPr="003939A7">
        <w:rPr>
          <w:rFonts w:cs="Arial"/>
        </w:rPr>
        <w:t>activities</w:t>
      </w:r>
      <w:r w:rsidR="007D2537" w:rsidRPr="003939A7">
        <w:rPr>
          <w:rFonts w:cs="Arial"/>
        </w:rPr>
        <w:t xml:space="preserve"> </w:t>
      </w:r>
      <w:r w:rsidRPr="003939A7">
        <w:rPr>
          <w:rFonts w:cs="Arial"/>
        </w:rPr>
        <w:t xml:space="preserve">and </w:t>
      </w:r>
      <w:r w:rsidR="004F0157" w:rsidRPr="003939A7">
        <w:rPr>
          <w:rFonts w:cs="Arial"/>
        </w:rPr>
        <w:t>this was very important to them:</w:t>
      </w:r>
    </w:p>
    <w:p w14:paraId="3CE87B02" w14:textId="77777777" w:rsidR="004F0157" w:rsidRPr="003939A7" w:rsidRDefault="004F0157" w:rsidP="00863D16">
      <w:pPr>
        <w:spacing w:after="0" w:line="360" w:lineRule="auto"/>
        <w:ind w:left="720" w:right="720"/>
      </w:pPr>
      <w:r w:rsidRPr="003939A7">
        <w:rPr>
          <w:i/>
        </w:rPr>
        <w:t>“</w:t>
      </w:r>
      <w:r w:rsidR="003B7C4B" w:rsidRPr="003939A7">
        <w:rPr>
          <w:i/>
        </w:rPr>
        <w:t>Yeah, I think in this group there's definitely a feeling of belonging and of not being judged. It's been discussed quite a lot within the group that people feel like we're not being judged here. We…we feel that we can put across our ideas and almost in the same boat so there's so much more understanding whereas with the rest of the community there's a lot of judgment and yeah just…it just feels so comfortable in this group</w:t>
      </w:r>
      <w:r w:rsidR="003B7C4B" w:rsidRPr="003939A7">
        <w:t xml:space="preserve"> (Female </w:t>
      </w:r>
      <w:r w:rsidR="00AF201C" w:rsidRPr="003939A7">
        <w:t>p</w:t>
      </w:r>
      <w:r w:rsidR="003B7C4B" w:rsidRPr="003939A7">
        <w:t>articipant</w:t>
      </w:r>
      <w:r w:rsidR="00EC595D" w:rsidRPr="003939A7">
        <w:t>,</w:t>
      </w:r>
      <w:r w:rsidR="003B7C4B" w:rsidRPr="003939A7">
        <w:t xml:space="preserve"> Gp3 Focus Group</w:t>
      </w:r>
      <w:r w:rsidR="00EC595D" w:rsidRPr="003939A7">
        <w:t>,</w:t>
      </w:r>
      <w:r w:rsidR="003B7C4B" w:rsidRPr="003939A7">
        <w:t xml:space="preserve"> end of </w:t>
      </w:r>
      <w:r w:rsidRPr="003939A7">
        <w:t>10 weeks</w:t>
      </w:r>
      <w:r w:rsidR="003B7C4B" w:rsidRPr="003939A7">
        <w:t>).</w:t>
      </w:r>
    </w:p>
    <w:p w14:paraId="0F976533" w14:textId="77777777" w:rsidR="00B40B9E" w:rsidRPr="003939A7" w:rsidRDefault="00B40B9E" w:rsidP="00863D16">
      <w:pPr>
        <w:spacing w:after="0" w:line="360" w:lineRule="auto"/>
        <w:ind w:left="720" w:right="720"/>
      </w:pPr>
    </w:p>
    <w:p w14:paraId="3E120CAD" w14:textId="5DEF376F" w:rsidR="00B40B9E" w:rsidRPr="003939A7" w:rsidRDefault="00B40B9E" w:rsidP="00863D16">
      <w:pPr>
        <w:spacing w:after="0" w:line="360" w:lineRule="auto"/>
        <w:ind w:left="720" w:right="720"/>
        <w:rPr>
          <w:i/>
        </w:rPr>
      </w:pPr>
      <w:r w:rsidRPr="003939A7">
        <w:rPr>
          <w:i/>
        </w:rPr>
        <w:t>“Nice to talk to people who are on the same wavelength as me and not be treated like I’m daft or anything if you got what I mean, you know.  I often get treated like I’m stupid or something (Female participant, Gp2 Focus Group, end of 10 weeks).</w:t>
      </w:r>
    </w:p>
    <w:p w14:paraId="66BD5E10" w14:textId="77777777" w:rsidR="00DC34FA" w:rsidRPr="003939A7" w:rsidRDefault="00DC34FA" w:rsidP="00863D16">
      <w:pPr>
        <w:spacing w:after="0" w:line="360" w:lineRule="auto"/>
        <w:ind w:left="720" w:right="720"/>
        <w:rPr>
          <w:i/>
        </w:rPr>
      </w:pPr>
    </w:p>
    <w:p w14:paraId="09CE758A" w14:textId="386F6B21" w:rsidR="00DC34FA" w:rsidRPr="003939A7" w:rsidRDefault="00DC34FA" w:rsidP="00863D16">
      <w:pPr>
        <w:spacing w:after="0" w:line="360" w:lineRule="auto"/>
        <w:ind w:left="720" w:right="720"/>
        <w:rPr>
          <w:i/>
        </w:rPr>
      </w:pPr>
      <w:r w:rsidRPr="003939A7">
        <w:rPr>
          <w:i/>
        </w:rPr>
        <w:t xml:space="preserve">I feel that I have to have a person in when I go to the park or me and my friends I have to have this persona where I hide who I really am because…because if not it would cause a drama and especially if I feel anxious I have to really kind of hide it </w:t>
      </w:r>
      <w:r w:rsidRPr="003939A7">
        <w:rPr>
          <w:i/>
        </w:rPr>
        <w:lastRenderedPageBreak/>
        <w:t>and make sure that no one tolerate it and hide it and here I don't have to. It's much more relaxed and…(Female participant, Gp3 Focus Group, end of 10 weeks)</w:t>
      </w:r>
    </w:p>
    <w:p w14:paraId="4F0C77A2" w14:textId="77777777" w:rsidR="004B20F6" w:rsidRPr="003939A7" w:rsidRDefault="004B20F6" w:rsidP="004B20F6">
      <w:pPr>
        <w:spacing w:after="0" w:line="360" w:lineRule="auto"/>
        <w:ind w:left="720" w:right="720"/>
      </w:pPr>
    </w:p>
    <w:p w14:paraId="697BD7A3" w14:textId="43B957F0" w:rsidR="004B20F6" w:rsidRPr="003939A7" w:rsidRDefault="004B20F6" w:rsidP="004B20F6">
      <w:pPr>
        <w:spacing w:after="0" w:line="360" w:lineRule="auto"/>
        <w:ind w:left="720" w:right="720"/>
      </w:pPr>
      <w:r w:rsidRPr="003939A7">
        <w:t>“We feel like ourselves here.  To respond to your question, I feel like more like myself here because I don't have to pretend to be tough...” …(Female participant, Gp3 Focus Group, end of 10 weeks)</w:t>
      </w:r>
    </w:p>
    <w:p w14:paraId="3DC3C143" w14:textId="77777777" w:rsidR="00EE0A27" w:rsidRPr="003939A7" w:rsidRDefault="00EE0A27" w:rsidP="00DC34FA">
      <w:pPr>
        <w:spacing w:after="0" w:line="360" w:lineRule="auto"/>
        <w:ind w:right="720"/>
      </w:pPr>
    </w:p>
    <w:p w14:paraId="2EEE2FBA" w14:textId="2B93CF5E" w:rsidR="00B40B9E" w:rsidRPr="003939A7" w:rsidRDefault="00B40B9E" w:rsidP="004B20F6">
      <w:pPr>
        <w:spacing w:after="0" w:line="360" w:lineRule="auto"/>
        <w:ind w:right="720"/>
      </w:pPr>
      <w:r w:rsidRPr="003939A7">
        <w:t>Participating in Human Henge resulted in the participants reflecting upon their mental health journey to date, one of the strong aspect coming from this was a reflection that they relished not being treated like a ‘patient’ or ‘being ill’, but rather a human being interacting with other human beings and this was a stark contrast to their previous experiences of therapy programmes:</w:t>
      </w:r>
    </w:p>
    <w:p w14:paraId="673C745D" w14:textId="77777777" w:rsidR="00D43378" w:rsidRPr="003939A7" w:rsidRDefault="00D43378" w:rsidP="00863D16">
      <w:pPr>
        <w:spacing w:after="0" w:line="360" w:lineRule="auto"/>
        <w:ind w:left="720" w:right="720"/>
      </w:pPr>
    </w:p>
    <w:p w14:paraId="15490681" w14:textId="0A0932BE" w:rsidR="00D43378" w:rsidRPr="003939A7" w:rsidRDefault="00B40B9E" w:rsidP="00863D16">
      <w:pPr>
        <w:spacing w:after="0" w:line="360" w:lineRule="auto"/>
        <w:ind w:left="720" w:right="720"/>
        <w:rPr>
          <w:i/>
        </w:rPr>
      </w:pPr>
      <w:r w:rsidRPr="003939A7">
        <w:rPr>
          <w:i/>
        </w:rPr>
        <w:t>“</w:t>
      </w:r>
      <w:r w:rsidR="00D43378" w:rsidRPr="003939A7">
        <w:rPr>
          <w:i/>
        </w:rPr>
        <w:t xml:space="preserve">I think one of the nice things was that it wasn’t just </w:t>
      </w:r>
      <w:r w:rsidR="004B20F6" w:rsidRPr="003939A7">
        <w:rPr>
          <w:i/>
        </w:rPr>
        <w:t>t</w:t>
      </w:r>
      <w:r w:rsidR="00D43378" w:rsidRPr="003939A7">
        <w:rPr>
          <w:i/>
        </w:rPr>
        <w:t xml:space="preserve">hat we’ve all met up every week, we had an activity that wasn’t related to being a nutter.  It was related to being a normal human being and we got to just walk….  I like the walking and talking and learning all at the same time and being a human being rather than being as an illness or a condition or a </w:t>
      </w:r>
      <w:r w:rsidRPr="003939A7">
        <w:rPr>
          <w:i/>
        </w:rPr>
        <w:t xml:space="preserve">service </w:t>
      </w:r>
      <w:r w:rsidR="00D43378" w:rsidRPr="003939A7">
        <w:rPr>
          <w:i/>
        </w:rPr>
        <w:t>user, like I’ve actually been a human being for three months with other human beings</w:t>
      </w:r>
      <w:r w:rsidRPr="003939A7">
        <w:rPr>
          <w:i/>
        </w:rPr>
        <w:t xml:space="preserve"> (</w:t>
      </w:r>
      <w:r w:rsidR="00D43378" w:rsidRPr="003939A7">
        <w:rPr>
          <w:i/>
        </w:rPr>
        <w:t>Female participant, Gp2 Focus Group, end of 10 weeks</w:t>
      </w:r>
      <w:r w:rsidRPr="003939A7">
        <w:rPr>
          <w:i/>
        </w:rPr>
        <w:t>)</w:t>
      </w:r>
    </w:p>
    <w:p w14:paraId="591FE5C5" w14:textId="77777777" w:rsidR="00DC34FA" w:rsidRPr="003939A7" w:rsidRDefault="00DC34FA" w:rsidP="00863D16">
      <w:pPr>
        <w:spacing w:after="0" w:line="360" w:lineRule="auto"/>
        <w:ind w:left="720" w:right="720"/>
        <w:rPr>
          <w:i/>
        </w:rPr>
      </w:pPr>
    </w:p>
    <w:p w14:paraId="37BE9FC4" w14:textId="100F3B8A" w:rsidR="00DC34FA" w:rsidRPr="003939A7" w:rsidRDefault="004B20F6" w:rsidP="00863D16">
      <w:pPr>
        <w:spacing w:after="0" w:line="360" w:lineRule="auto"/>
        <w:ind w:left="720" w:right="720"/>
        <w:rPr>
          <w:i/>
        </w:rPr>
      </w:pPr>
      <w:r w:rsidRPr="003939A7">
        <w:rPr>
          <w:i/>
        </w:rPr>
        <w:t>“</w:t>
      </w:r>
      <w:r w:rsidR="00DC34FA" w:rsidRPr="003939A7">
        <w:rPr>
          <w:i/>
        </w:rPr>
        <w:t>Like you say, basket weaving is for idiots, whereas we’ve been taught basket weaving from an archaeological or intellectual, historical point of view and we’ve looked at the type of thing we’re using to mak</w:t>
      </w:r>
      <w:r w:rsidRPr="003939A7">
        <w:rPr>
          <w:i/>
        </w:rPr>
        <w:t>e the basket with…</w:t>
      </w:r>
      <w:r w:rsidR="00DC34FA" w:rsidRPr="003939A7">
        <w:rPr>
          <w:i/>
        </w:rPr>
        <w:t>and it’s been fascinating</w:t>
      </w:r>
      <w:r w:rsidRPr="003939A7">
        <w:rPr>
          <w:i/>
        </w:rPr>
        <w:t>”</w:t>
      </w:r>
      <w:r w:rsidR="00DC34FA" w:rsidRPr="003939A7">
        <w:rPr>
          <w:i/>
        </w:rPr>
        <w:t xml:space="preserve"> (Female participant, Gp2 Focus Group, end of 10 weeks).</w:t>
      </w:r>
    </w:p>
    <w:p w14:paraId="55DEA237" w14:textId="77777777" w:rsidR="00B40B9E" w:rsidRPr="003939A7" w:rsidRDefault="00B40B9E" w:rsidP="00863D16">
      <w:pPr>
        <w:spacing w:after="0" w:line="360" w:lineRule="auto"/>
        <w:ind w:left="720" w:right="720"/>
      </w:pPr>
    </w:p>
    <w:p w14:paraId="19D9F066" w14:textId="77777777" w:rsidR="00ED16F9" w:rsidRPr="003939A7" w:rsidRDefault="00ED16F9" w:rsidP="00ED16F9">
      <w:pPr>
        <w:pStyle w:val="ListParagraph"/>
        <w:numPr>
          <w:ilvl w:val="2"/>
          <w:numId w:val="13"/>
        </w:numPr>
        <w:spacing w:after="0" w:line="360" w:lineRule="auto"/>
        <w:jc w:val="both"/>
        <w:rPr>
          <w:rFonts w:cs="Arial"/>
          <w:i/>
        </w:rPr>
      </w:pPr>
      <w:r w:rsidRPr="003939A7">
        <w:rPr>
          <w:rFonts w:cs="Arial"/>
          <w:i/>
        </w:rPr>
        <w:t xml:space="preserve">Challenging </w:t>
      </w:r>
      <w:r w:rsidR="00E06E4C" w:rsidRPr="003939A7">
        <w:rPr>
          <w:rFonts w:cs="Arial"/>
          <w:i/>
        </w:rPr>
        <w:t>on</w:t>
      </w:r>
      <w:r w:rsidRPr="003939A7">
        <w:rPr>
          <w:rFonts w:cs="Arial"/>
          <w:i/>
        </w:rPr>
        <w:t>e</w:t>
      </w:r>
      <w:r w:rsidR="00E06E4C" w:rsidRPr="003939A7">
        <w:rPr>
          <w:rFonts w:cs="Arial"/>
          <w:i/>
        </w:rPr>
        <w:t>self</w:t>
      </w:r>
    </w:p>
    <w:p w14:paraId="58E8305A" w14:textId="77777777" w:rsidR="00FB43FA" w:rsidRPr="003939A7" w:rsidRDefault="00425B83" w:rsidP="00FB43FA">
      <w:pPr>
        <w:spacing w:after="0" w:line="360" w:lineRule="auto"/>
        <w:jc w:val="both"/>
        <w:rPr>
          <w:rFonts w:cs="Arial"/>
        </w:rPr>
      </w:pPr>
      <w:r w:rsidRPr="003939A7">
        <w:rPr>
          <w:rFonts w:cs="Arial"/>
        </w:rPr>
        <w:t xml:space="preserve">Through associating with others with similar experiences participants </w:t>
      </w:r>
      <w:r w:rsidR="00EC595D" w:rsidRPr="003939A7">
        <w:rPr>
          <w:rFonts w:cs="Arial"/>
        </w:rPr>
        <w:t>gained</w:t>
      </w:r>
      <w:r w:rsidRPr="003939A7">
        <w:rPr>
          <w:rFonts w:cs="Arial"/>
        </w:rPr>
        <w:t xml:space="preserve"> </w:t>
      </w:r>
      <w:r w:rsidR="00EC595D" w:rsidRPr="003939A7">
        <w:rPr>
          <w:rFonts w:cs="Arial"/>
        </w:rPr>
        <w:t xml:space="preserve">the </w:t>
      </w:r>
      <w:r w:rsidRPr="003939A7">
        <w:rPr>
          <w:rFonts w:cs="Arial"/>
        </w:rPr>
        <w:t>strength and confidence to revisit local places as well as engage more readily with their local communities</w:t>
      </w:r>
      <w:r w:rsidR="00EC595D" w:rsidRPr="003939A7">
        <w:rPr>
          <w:rFonts w:cs="Arial"/>
        </w:rPr>
        <w:t>. These things became</w:t>
      </w:r>
      <w:r w:rsidRPr="003939A7">
        <w:rPr>
          <w:rFonts w:cs="Arial"/>
        </w:rPr>
        <w:t xml:space="preserve"> a positive experience for them. </w:t>
      </w:r>
      <w:r w:rsidR="00FB43FA" w:rsidRPr="003939A7">
        <w:rPr>
          <w:rFonts w:cs="Arial"/>
        </w:rPr>
        <w:t xml:space="preserve">Participation in Human Henge gave some participants confidence to step outside the boundaries they had previously </w:t>
      </w:r>
      <w:r w:rsidR="00EC595D" w:rsidRPr="003939A7">
        <w:rPr>
          <w:rFonts w:cs="Arial"/>
        </w:rPr>
        <w:t xml:space="preserve">built-up </w:t>
      </w:r>
      <w:r w:rsidR="00C84E46" w:rsidRPr="003939A7">
        <w:rPr>
          <w:rFonts w:cs="Arial"/>
        </w:rPr>
        <w:t>for themselves</w:t>
      </w:r>
      <w:r w:rsidR="00FB43FA" w:rsidRPr="003939A7">
        <w:rPr>
          <w:rFonts w:cs="Arial"/>
        </w:rPr>
        <w:t xml:space="preserve"> </w:t>
      </w:r>
      <w:r w:rsidR="00C84E46" w:rsidRPr="003939A7">
        <w:rPr>
          <w:rFonts w:cs="Arial"/>
        </w:rPr>
        <w:t>while trying</w:t>
      </w:r>
      <w:r w:rsidR="00FB43FA" w:rsidRPr="003939A7">
        <w:rPr>
          <w:rFonts w:cs="Arial"/>
        </w:rPr>
        <w:t xml:space="preserve"> something new, something they would </w:t>
      </w:r>
      <w:r w:rsidR="00EC595D" w:rsidRPr="003939A7">
        <w:rPr>
          <w:rFonts w:cs="Arial"/>
        </w:rPr>
        <w:t>never</w:t>
      </w:r>
      <w:r w:rsidR="00FB43FA" w:rsidRPr="003939A7">
        <w:rPr>
          <w:rFonts w:cs="Arial"/>
        </w:rPr>
        <w:t xml:space="preserve"> have contemplated before. For some, it was </w:t>
      </w:r>
      <w:r w:rsidR="00EC595D" w:rsidRPr="003939A7">
        <w:rPr>
          <w:rFonts w:cs="Arial"/>
        </w:rPr>
        <w:t xml:space="preserve">being </w:t>
      </w:r>
      <w:r w:rsidR="00FB43FA" w:rsidRPr="003939A7">
        <w:rPr>
          <w:rFonts w:cs="Arial"/>
        </w:rPr>
        <w:t xml:space="preserve">within the group setting itself, leading and facilitating a Human Henge </w:t>
      </w:r>
      <w:r w:rsidR="00EC595D" w:rsidRPr="003939A7">
        <w:rPr>
          <w:rFonts w:cs="Arial"/>
        </w:rPr>
        <w:t>activity</w:t>
      </w:r>
      <w:r w:rsidR="007D2537" w:rsidRPr="003939A7">
        <w:rPr>
          <w:rFonts w:cs="Arial"/>
        </w:rPr>
        <w:t>. For</w:t>
      </w:r>
      <w:r w:rsidR="00FB43FA" w:rsidRPr="003939A7">
        <w:rPr>
          <w:rFonts w:cs="Arial"/>
        </w:rPr>
        <w:t xml:space="preserve"> others it was </w:t>
      </w:r>
      <w:r w:rsidR="00FB43FA" w:rsidRPr="003939A7">
        <w:rPr>
          <w:rFonts w:cs="Arial"/>
        </w:rPr>
        <w:lastRenderedPageBreak/>
        <w:t xml:space="preserve">challenging themselves outside the group, creating new opportunities and </w:t>
      </w:r>
      <w:r w:rsidR="00423F34" w:rsidRPr="003939A7">
        <w:rPr>
          <w:rFonts w:cs="Arial"/>
        </w:rPr>
        <w:t>possibilities linked</w:t>
      </w:r>
      <w:r w:rsidR="00FB43FA" w:rsidRPr="003939A7">
        <w:rPr>
          <w:rFonts w:cs="Arial"/>
        </w:rPr>
        <w:t xml:space="preserve"> to employment or new hobbies</w:t>
      </w:r>
      <w:r w:rsidR="00EC595D" w:rsidRPr="003939A7">
        <w:rPr>
          <w:rFonts w:cs="Arial"/>
        </w:rPr>
        <w:t>:</w:t>
      </w:r>
      <w:r w:rsidR="00FB43FA" w:rsidRPr="003939A7">
        <w:rPr>
          <w:rFonts w:cs="Arial"/>
        </w:rPr>
        <w:t xml:space="preserve"> </w:t>
      </w:r>
    </w:p>
    <w:p w14:paraId="5E93C87B" w14:textId="77777777" w:rsidR="00FB43FA" w:rsidRPr="003939A7" w:rsidRDefault="00FB43FA" w:rsidP="00ED16F9">
      <w:pPr>
        <w:spacing w:after="0" w:line="360" w:lineRule="auto"/>
        <w:ind w:left="720" w:right="720"/>
        <w:jc w:val="both"/>
        <w:rPr>
          <w:rFonts w:cs="Arial"/>
          <w:i/>
        </w:rPr>
      </w:pPr>
      <w:r w:rsidRPr="003939A7">
        <w:rPr>
          <w:rFonts w:cs="Arial"/>
          <w:i/>
        </w:rPr>
        <w:t xml:space="preserve">“I found it difficult…really difficult to stand there in front of a group of people talking to them an’ all that, but afterwards I thought… phew! I did really well there!” (Male </w:t>
      </w:r>
      <w:r w:rsidR="00AF201C" w:rsidRPr="003939A7">
        <w:rPr>
          <w:rFonts w:cs="Arial"/>
          <w:i/>
        </w:rPr>
        <w:t>p</w:t>
      </w:r>
      <w:r w:rsidRPr="003939A7">
        <w:rPr>
          <w:rFonts w:cs="Arial"/>
          <w:i/>
        </w:rPr>
        <w:t>articipant</w:t>
      </w:r>
      <w:r w:rsidR="00EC595D" w:rsidRPr="003939A7">
        <w:rPr>
          <w:rFonts w:cs="Arial"/>
          <w:i/>
        </w:rPr>
        <w:t>,</w:t>
      </w:r>
      <w:r w:rsidRPr="003939A7">
        <w:rPr>
          <w:rFonts w:cs="Arial"/>
          <w:i/>
        </w:rPr>
        <w:t xml:space="preserve"> </w:t>
      </w:r>
      <w:r w:rsidR="0047137A" w:rsidRPr="003939A7">
        <w:rPr>
          <w:rFonts w:cs="Arial"/>
          <w:i/>
        </w:rPr>
        <w:t xml:space="preserve">Gp1 </w:t>
      </w:r>
      <w:r w:rsidRPr="003939A7">
        <w:rPr>
          <w:rFonts w:cs="Arial"/>
          <w:i/>
        </w:rPr>
        <w:t xml:space="preserve">Focus </w:t>
      </w:r>
      <w:r w:rsidR="00AF201C" w:rsidRPr="003939A7">
        <w:rPr>
          <w:rFonts w:cs="Arial"/>
          <w:i/>
        </w:rPr>
        <w:t>G</w:t>
      </w:r>
      <w:r w:rsidRPr="003939A7">
        <w:rPr>
          <w:rFonts w:cs="Arial"/>
          <w:i/>
        </w:rPr>
        <w:t>roup</w:t>
      </w:r>
      <w:r w:rsidR="00EC595D" w:rsidRPr="003939A7">
        <w:rPr>
          <w:rFonts w:cs="Arial"/>
          <w:i/>
        </w:rPr>
        <w:t>,</w:t>
      </w:r>
      <w:r w:rsidR="0047137A" w:rsidRPr="003939A7">
        <w:rPr>
          <w:rFonts w:cs="Arial"/>
          <w:i/>
        </w:rPr>
        <w:t xml:space="preserve"> end of </w:t>
      </w:r>
      <w:r w:rsidR="004F0157" w:rsidRPr="003939A7">
        <w:rPr>
          <w:rFonts w:cs="Arial"/>
          <w:i/>
        </w:rPr>
        <w:t>10 weeks</w:t>
      </w:r>
      <w:r w:rsidRPr="003939A7">
        <w:rPr>
          <w:rFonts w:cs="Arial"/>
          <w:i/>
        </w:rPr>
        <w:t>)</w:t>
      </w:r>
    </w:p>
    <w:p w14:paraId="667F0414" w14:textId="77777777" w:rsidR="00FB43FA" w:rsidRPr="003939A7" w:rsidRDefault="00FB43FA" w:rsidP="00ED16F9">
      <w:pPr>
        <w:spacing w:after="0" w:line="360" w:lineRule="auto"/>
        <w:ind w:left="720" w:right="720"/>
        <w:jc w:val="both"/>
        <w:rPr>
          <w:rFonts w:cs="Arial"/>
          <w:i/>
        </w:rPr>
      </w:pPr>
    </w:p>
    <w:p w14:paraId="31CC5499" w14:textId="77777777" w:rsidR="00FB43FA" w:rsidRPr="003939A7" w:rsidRDefault="00FB43FA" w:rsidP="00ED16F9">
      <w:pPr>
        <w:spacing w:after="0" w:line="360" w:lineRule="auto"/>
        <w:ind w:left="720" w:right="720"/>
        <w:jc w:val="both"/>
        <w:rPr>
          <w:rFonts w:cs="Arial"/>
          <w:i/>
        </w:rPr>
      </w:pPr>
      <w:r w:rsidRPr="003939A7">
        <w:rPr>
          <w:rFonts w:cs="Arial"/>
          <w:i/>
        </w:rPr>
        <w:t xml:space="preserve">“This is the first time I’ve done them (taken photographs) and you’ve really influenced me to go into a shop and say “Look this is what I’ve got, do you wanna buy it off of me?” And I think that’s awesome that is. And then a couple’a weeks ago I did actually take my cards into a shop in ***** and they bought almost a hundred of my cards and it was really exciting for me” (Female </w:t>
      </w:r>
      <w:r w:rsidR="00AF201C" w:rsidRPr="003939A7">
        <w:rPr>
          <w:rFonts w:cs="Arial"/>
          <w:i/>
        </w:rPr>
        <w:t>p</w:t>
      </w:r>
      <w:r w:rsidRPr="003939A7">
        <w:rPr>
          <w:rFonts w:cs="Arial"/>
          <w:i/>
        </w:rPr>
        <w:t>articipant</w:t>
      </w:r>
      <w:r w:rsidR="00EC595D" w:rsidRPr="003939A7">
        <w:rPr>
          <w:rFonts w:cs="Arial"/>
          <w:i/>
        </w:rPr>
        <w:t>,</w:t>
      </w:r>
      <w:r w:rsidRPr="003939A7">
        <w:rPr>
          <w:rFonts w:cs="Arial"/>
          <w:i/>
        </w:rPr>
        <w:t xml:space="preserve"> </w:t>
      </w:r>
      <w:r w:rsidR="0047137A" w:rsidRPr="003939A7">
        <w:rPr>
          <w:rFonts w:cs="Arial"/>
          <w:i/>
        </w:rPr>
        <w:t xml:space="preserve">Gp2 </w:t>
      </w:r>
      <w:r w:rsidRPr="003939A7">
        <w:rPr>
          <w:rFonts w:cs="Arial"/>
          <w:i/>
        </w:rPr>
        <w:t>Focus Group</w:t>
      </w:r>
      <w:r w:rsidR="00EC595D" w:rsidRPr="003939A7">
        <w:rPr>
          <w:rFonts w:cs="Arial"/>
          <w:i/>
        </w:rPr>
        <w:t>,</w:t>
      </w:r>
      <w:r w:rsidRPr="003939A7">
        <w:rPr>
          <w:rFonts w:cs="Arial"/>
          <w:i/>
        </w:rPr>
        <w:t xml:space="preserve"> </w:t>
      </w:r>
      <w:r w:rsidR="0047137A" w:rsidRPr="003939A7">
        <w:rPr>
          <w:rFonts w:cs="Arial"/>
          <w:i/>
        </w:rPr>
        <w:t xml:space="preserve">end of </w:t>
      </w:r>
      <w:r w:rsidR="004F0157" w:rsidRPr="003939A7">
        <w:rPr>
          <w:rFonts w:cs="Arial"/>
          <w:i/>
        </w:rPr>
        <w:t>10 weeks</w:t>
      </w:r>
      <w:r w:rsidRPr="003939A7">
        <w:rPr>
          <w:rFonts w:cs="Arial"/>
          <w:i/>
        </w:rPr>
        <w:t>)</w:t>
      </w:r>
    </w:p>
    <w:p w14:paraId="06D6498D" w14:textId="77777777" w:rsidR="00FB43FA" w:rsidRPr="003939A7" w:rsidRDefault="00FB43FA" w:rsidP="00ED16F9">
      <w:pPr>
        <w:spacing w:after="0" w:line="360" w:lineRule="auto"/>
        <w:ind w:left="720" w:right="720"/>
        <w:jc w:val="both"/>
        <w:rPr>
          <w:rFonts w:cs="Arial"/>
          <w:i/>
        </w:rPr>
      </w:pPr>
    </w:p>
    <w:p w14:paraId="65D06323" w14:textId="77777777" w:rsidR="00FB43FA" w:rsidRPr="003939A7" w:rsidRDefault="00EC595D" w:rsidP="00FB43FA">
      <w:pPr>
        <w:spacing w:after="0" w:line="360" w:lineRule="auto"/>
        <w:jc w:val="both"/>
        <w:rPr>
          <w:rFonts w:cs="Arial"/>
          <w:i/>
        </w:rPr>
      </w:pPr>
      <w:r w:rsidRPr="003939A7">
        <w:rPr>
          <w:rFonts w:cs="Arial"/>
        </w:rPr>
        <w:t>P</w:t>
      </w:r>
      <w:r w:rsidR="00FB43FA" w:rsidRPr="003939A7">
        <w:rPr>
          <w:rFonts w:cs="Arial"/>
        </w:rPr>
        <w:t>articipants gained inspiration and strength from the group</w:t>
      </w:r>
      <w:r w:rsidRPr="003939A7">
        <w:rPr>
          <w:rFonts w:cs="Arial"/>
        </w:rPr>
        <w:t>,</w:t>
      </w:r>
      <w:r w:rsidR="00FB43FA" w:rsidRPr="003939A7">
        <w:rPr>
          <w:rFonts w:cs="Arial"/>
        </w:rPr>
        <w:t xml:space="preserve"> and this was instrumental in themselves having the confidence to try new things. A female participant (</w:t>
      </w:r>
      <w:r w:rsidR="0047137A" w:rsidRPr="003939A7">
        <w:rPr>
          <w:rFonts w:cs="Arial"/>
        </w:rPr>
        <w:t>Gp3</w:t>
      </w:r>
      <w:r w:rsidRPr="003939A7">
        <w:rPr>
          <w:rFonts w:cs="Arial"/>
        </w:rPr>
        <w:t>,</w:t>
      </w:r>
      <w:r w:rsidR="0047137A" w:rsidRPr="003939A7">
        <w:rPr>
          <w:rFonts w:cs="Arial"/>
        </w:rPr>
        <w:t xml:space="preserve"> </w:t>
      </w:r>
      <w:r w:rsidR="00FB43FA" w:rsidRPr="003939A7">
        <w:rPr>
          <w:rFonts w:cs="Arial"/>
        </w:rPr>
        <w:t xml:space="preserve">Focus </w:t>
      </w:r>
      <w:r w:rsidR="00AF201C" w:rsidRPr="003939A7">
        <w:rPr>
          <w:rFonts w:cs="Arial"/>
        </w:rPr>
        <w:t>G</w:t>
      </w:r>
      <w:r w:rsidR="00FB43FA" w:rsidRPr="003939A7">
        <w:rPr>
          <w:rFonts w:cs="Arial"/>
        </w:rPr>
        <w:t>roup</w:t>
      </w:r>
      <w:r w:rsidRPr="003939A7">
        <w:rPr>
          <w:rFonts w:cs="Arial"/>
        </w:rPr>
        <w:t>,</w:t>
      </w:r>
      <w:r w:rsidR="00FB43FA" w:rsidRPr="003939A7">
        <w:rPr>
          <w:rFonts w:cs="Arial"/>
        </w:rPr>
        <w:t xml:space="preserve"> </w:t>
      </w:r>
      <w:r w:rsidR="0047137A" w:rsidRPr="003939A7">
        <w:rPr>
          <w:rFonts w:cs="Arial"/>
        </w:rPr>
        <w:t xml:space="preserve">end of </w:t>
      </w:r>
      <w:r w:rsidR="004F0157" w:rsidRPr="003939A7">
        <w:rPr>
          <w:rFonts w:cs="Arial"/>
        </w:rPr>
        <w:t>10 weeks</w:t>
      </w:r>
      <w:r w:rsidR="00FB43FA" w:rsidRPr="003939A7">
        <w:rPr>
          <w:rFonts w:cs="Arial"/>
        </w:rPr>
        <w:t>) sums this up</w:t>
      </w:r>
      <w:r w:rsidRPr="003939A7">
        <w:rPr>
          <w:rFonts w:cs="Arial"/>
        </w:rPr>
        <w:t>:</w:t>
      </w:r>
      <w:r w:rsidR="00FB43FA" w:rsidRPr="003939A7">
        <w:rPr>
          <w:rFonts w:cs="Arial"/>
          <w:i/>
        </w:rPr>
        <w:t xml:space="preserve"> “… you see people grow and they overcome their personal struggles, some physical, some mental and that gives you some strength and some determination to overcome your own, you know, push yourself a little bit”.</w:t>
      </w:r>
    </w:p>
    <w:p w14:paraId="06782968" w14:textId="77777777" w:rsidR="00FB43FA" w:rsidRPr="003939A7" w:rsidRDefault="00FB43FA" w:rsidP="00876312">
      <w:pPr>
        <w:spacing w:after="0" w:line="360" w:lineRule="auto"/>
        <w:jc w:val="both"/>
        <w:rPr>
          <w:rFonts w:cs="Arial"/>
          <w:i/>
        </w:rPr>
      </w:pPr>
    </w:p>
    <w:p w14:paraId="4AD93FA4" w14:textId="77777777" w:rsidR="00E06E4C" w:rsidRPr="003939A7" w:rsidRDefault="00E06E4C" w:rsidP="00ED16F9">
      <w:pPr>
        <w:pStyle w:val="ListParagraph"/>
        <w:numPr>
          <w:ilvl w:val="2"/>
          <w:numId w:val="13"/>
        </w:numPr>
        <w:spacing w:after="0" w:line="360" w:lineRule="auto"/>
        <w:jc w:val="both"/>
        <w:rPr>
          <w:rFonts w:cs="Arial"/>
          <w:i/>
        </w:rPr>
      </w:pPr>
      <w:r w:rsidRPr="003939A7">
        <w:rPr>
          <w:rFonts w:cs="Arial"/>
          <w:i/>
        </w:rPr>
        <w:t xml:space="preserve">Impact </w:t>
      </w:r>
      <w:r w:rsidR="007D2537" w:rsidRPr="003939A7">
        <w:rPr>
          <w:rFonts w:cs="Arial"/>
          <w:i/>
        </w:rPr>
        <w:t xml:space="preserve">on </w:t>
      </w:r>
      <w:r w:rsidR="00ED16F9" w:rsidRPr="003939A7">
        <w:rPr>
          <w:rFonts w:cs="Arial"/>
          <w:i/>
        </w:rPr>
        <w:t>mental health well-being</w:t>
      </w:r>
    </w:p>
    <w:p w14:paraId="0B6B4DA6" w14:textId="77777777" w:rsidR="00FB43FA" w:rsidRPr="003939A7" w:rsidRDefault="00F71C39" w:rsidP="00FB43FA">
      <w:pPr>
        <w:tabs>
          <w:tab w:val="left" w:pos="1276"/>
        </w:tabs>
        <w:spacing w:after="0" w:line="360" w:lineRule="auto"/>
        <w:jc w:val="both"/>
        <w:rPr>
          <w:rFonts w:cs="Times New Roman"/>
        </w:rPr>
      </w:pPr>
      <w:r w:rsidRPr="003939A7">
        <w:rPr>
          <w:rFonts w:cs="Times New Roman"/>
        </w:rPr>
        <w:t xml:space="preserve">It was evident from the qualitative data that the </w:t>
      </w:r>
      <w:r w:rsidR="00FB43FA" w:rsidRPr="003939A7">
        <w:rPr>
          <w:rFonts w:cs="Times New Roman"/>
        </w:rPr>
        <w:t xml:space="preserve">majority of participants </w:t>
      </w:r>
      <w:r w:rsidRPr="003939A7">
        <w:rPr>
          <w:rFonts w:cs="Times New Roman"/>
        </w:rPr>
        <w:t xml:space="preserve">perceived </w:t>
      </w:r>
      <w:r w:rsidR="00FB43FA" w:rsidRPr="003939A7">
        <w:rPr>
          <w:rFonts w:cs="Times New Roman"/>
        </w:rPr>
        <w:t xml:space="preserve">that their mental health well-being </w:t>
      </w:r>
      <w:r w:rsidRPr="003939A7">
        <w:rPr>
          <w:rFonts w:cs="Times New Roman"/>
        </w:rPr>
        <w:t xml:space="preserve">had </w:t>
      </w:r>
      <w:r w:rsidR="00FB43FA" w:rsidRPr="003939A7">
        <w:rPr>
          <w:rFonts w:cs="Times New Roman"/>
        </w:rPr>
        <w:t xml:space="preserve">improved as a result of participating in the </w:t>
      </w:r>
      <w:r w:rsidR="00EC595D" w:rsidRPr="003939A7">
        <w:rPr>
          <w:rFonts w:cs="Times New Roman"/>
        </w:rPr>
        <w:t>programme</w:t>
      </w:r>
      <w:r w:rsidR="00FB43FA" w:rsidRPr="003939A7">
        <w:rPr>
          <w:rFonts w:cs="Times New Roman"/>
        </w:rPr>
        <w:t>.  For some participants</w:t>
      </w:r>
      <w:r w:rsidR="00F81AD3" w:rsidRPr="003939A7">
        <w:rPr>
          <w:rFonts w:cs="Times New Roman"/>
        </w:rPr>
        <w:t>, the programme provided the</w:t>
      </w:r>
      <w:r w:rsidR="00EC595D" w:rsidRPr="003939A7">
        <w:rPr>
          <w:rFonts w:cs="Times New Roman"/>
        </w:rPr>
        <w:t>m</w:t>
      </w:r>
      <w:r w:rsidR="00F81AD3" w:rsidRPr="003939A7">
        <w:rPr>
          <w:rFonts w:cs="Times New Roman"/>
        </w:rPr>
        <w:t xml:space="preserve"> with a better insight into their mental health issues </w:t>
      </w:r>
      <w:r w:rsidR="00EC595D" w:rsidRPr="003939A7">
        <w:rPr>
          <w:rFonts w:cs="Times New Roman"/>
        </w:rPr>
        <w:t>while helping t</w:t>
      </w:r>
      <w:r w:rsidR="00F81AD3" w:rsidRPr="003939A7">
        <w:rPr>
          <w:rFonts w:cs="Times New Roman"/>
        </w:rPr>
        <w:t>hem to develop strategies to manage these</w:t>
      </w:r>
      <w:r w:rsidR="00EC595D" w:rsidRPr="003939A7">
        <w:rPr>
          <w:rFonts w:cs="Times New Roman"/>
        </w:rPr>
        <w:t xml:space="preserve"> issues</w:t>
      </w:r>
      <w:r w:rsidR="00F81AD3" w:rsidRPr="003939A7">
        <w:rPr>
          <w:rFonts w:cs="Times New Roman"/>
        </w:rPr>
        <w:t>:</w:t>
      </w:r>
    </w:p>
    <w:p w14:paraId="2E8E8F54" w14:textId="77777777" w:rsidR="00FB43FA" w:rsidRPr="003939A7" w:rsidRDefault="00EC595D" w:rsidP="00381A00">
      <w:pPr>
        <w:tabs>
          <w:tab w:val="left" w:pos="1276"/>
        </w:tabs>
        <w:spacing w:after="0" w:line="360" w:lineRule="auto"/>
        <w:ind w:left="720" w:right="720"/>
        <w:jc w:val="both"/>
        <w:rPr>
          <w:rFonts w:cs="Times New Roman"/>
        </w:rPr>
      </w:pPr>
      <w:r w:rsidRPr="003939A7">
        <w:rPr>
          <w:rFonts w:cs="Times New Roman"/>
          <w:i/>
        </w:rPr>
        <w:t>“</w:t>
      </w:r>
      <w:r w:rsidR="00381A00" w:rsidRPr="003939A7">
        <w:rPr>
          <w:rFonts w:cs="Times New Roman"/>
          <w:i/>
        </w:rPr>
        <w:t>I feel it's broke down my social anxiety</w:t>
      </w:r>
      <w:r w:rsidR="00F81AD3" w:rsidRPr="003939A7">
        <w:rPr>
          <w:rFonts w:cs="Times New Roman"/>
          <w:i/>
        </w:rPr>
        <w:t xml:space="preserve">, </w:t>
      </w:r>
      <w:r w:rsidR="00381A00" w:rsidRPr="003939A7">
        <w:rPr>
          <w:rFonts w:cs="Times New Roman"/>
          <w:i/>
        </w:rPr>
        <w:t xml:space="preserve">my understanding of them has opened up a little bit in that sometimes it's the barriers I put up </w:t>
      </w:r>
      <w:r w:rsidR="009E3658" w:rsidRPr="003939A7">
        <w:rPr>
          <w:rFonts w:cs="Times New Roman"/>
          <w:i/>
        </w:rPr>
        <w:t xml:space="preserve">that push people away. </w:t>
      </w:r>
      <w:r w:rsidR="00381A00" w:rsidRPr="003939A7">
        <w:rPr>
          <w:rFonts w:cs="Times New Roman"/>
          <w:i/>
        </w:rPr>
        <w:t xml:space="preserve">I think coming here and being with people, </w:t>
      </w:r>
      <w:r w:rsidR="009E3658" w:rsidRPr="003939A7">
        <w:rPr>
          <w:rFonts w:cs="Times New Roman"/>
          <w:i/>
        </w:rPr>
        <w:t xml:space="preserve">is </w:t>
      </w:r>
      <w:r w:rsidR="00381A00" w:rsidRPr="003939A7">
        <w:rPr>
          <w:rFonts w:cs="Times New Roman"/>
          <w:i/>
        </w:rPr>
        <w:t>breaking down the barriers</w:t>
      </w:r>
      <w:r w:rsidR="009E3658" w:rsidRPr="003939A7">
        <w:rPr>
          <w:rFonts w:cs="Times New Roman"/>
          <w:i/>
        </w:rPr>
        <w:t xml:space="preserve">. </w:t>
      </w:r>
      <w:r w:rsidR="00381A00" w:rsidRPr="003939A7">
        <w:rPr>
          <w:rFonts w:cs="Times New Roman"/>
          <w:i/>
        </w:rPr>
        <w:t xml:space="preserve"> Only speaking for myself, you can get trapped up in making the world so small...</w:t>
      </w:r>
      <w:r w:rsidRPr="003939A7">
        <w:rPr>
          <w:rFonts w:cs="Times New Roman"/>
          <w:i/>
        </w:rPr>
        <w:t>”</w:t>
      </w:r>
      <w:r w:rsidR="00381A00" w:rsidRPr="003939A7">
        <w:t xml:space="preserve"> </w:t>
      </w:r>
      <w:r w:rsidR="00381A00" w:rsidRPr="003939A7">
        <w:rPr>
          <w:rFonts w:cs="Times New Roman"/>
        </w:rPr>
        <w:t xml:space="preserve">(Female </w:t>
      </w:r>
      <w:r w:rsidR="00AF201C" w:rsidRPr="003939A7">
        <w:rPr>
          <w:rFonts w:cs="Times New Roman"/>
        </w:rPr>
        <w:t>p</w:t>
      </w:r>
      <w:r w:rsidR="00381A00" w:rsidRPr="003939A7">
        <w:rPr>
          <w:rFonts w:cs="Times New Roman"/>
        </w:rPr>
        <w:t>articipant</w:t>
      </w:r>
      <w:r w:rsidRPr="003939A7">
        <w:rPr>
          <w:rFonts w:cs="Times New Roman"/>
        </w:rPr>
        <w:t>,</w:t>
      </w:r>
      <w:r w:rsidR="00381A00" w:rsidRPr="003939A7">
        <w:rPr>
          <w:rFonts w:cs="Times New Roman"/>
        </w:rPr>
        <w:t xml:space="preserve"> Gp3 Focus Group</w:t>
      </w:r>
      <w:r w:rsidRPr="003939A7">
        <w:rPr>
          <w:rFonts w:cs="Times New Roman"/>
        </w:rPr>
        <w:t>,</w:t>
      </w:r>
      <w:r w:rsidR="00381A00" w:rsidRPr="003939A7">
        <w:rPr>
          <w:rFonts w:cs="Times New Roman"/>
        </w:rPr>
        <w:t xml:space="preserve"> end of </w:t>
      </w:r>
      <w:r w:rsidR="004F0157" w:rsidRPr="003939A7">
        <w:rPr>
          <w:rFonts w:cs="Times New Roman"/>
        </w:rPr>
        <w:t>10 weeks</w:t>
      </w:r>
      <w:r w:rsidR="00381A00" w:rsidRPr="003939A7">
        <w:rPr>
          <w:rFonts w:cs="Times New Roman"/>
        </w:rPr>
        <w:t>)</w:t>
      </w:r>
    </w:p>
    <w:p w14:paraId="2E1D61EF" w14:textId="77777777" w:rsidR="00381A00" w:rsidRPr="003939A7" w:rsidRDefault="00381A00" w:rsidP="00381A00">
      <w:pPr>
        <w:tabs>
          <w:tab w:val="left" w:pos="1276"/>
        </w:tabs>
        <w:spacing w:after="0" w:line="360" w:lineRule="auto"/>
        <w:ind w:left="720" w:right="720"/>
        <w:jc w:val="both"/>
        <w:rPr>
          <w:rFonts w:cs="Times New Roman"/>
          <w:i/>
        </w:rPr>
      </w:pPr>
    </w:p>
    <w:p w14:paraId="3842CE30" w14:textId="39A6726B" w:rsidR="00FB43FA" w:rsidRPr="003939A7" w:rsidRDefault="00FB43FA" w:rsidP="00FB43FA">
      <w:pPr>
        <w:tabs>
          <w:tab w:val="left" w:pos="1276"/>
        </w:tabs>
        <w:spacing w:after="0" w:line="360" w:lineRule="auto"/>
        <w:jc w:val="both"/>
        <w:rPr>
          <w:rFonts w:cs="Times New Roman"/>
        </w:rPr>
      </w:pPr>
      <w:r w:rsidRPr="003939A7">
        <w:rPr>
          <w:rFonts w:cs="Times New Roman"/>
        </w:rPr>
        <w:t>For one female participant in Group 2, being involved in Human Henge  g</w:t>
      </w:r>
      <w:r w:rsidR="00EC595D" w:rsidRPr="003939A7">
        <w:rPr>
          <w:rFonts w:cs="Times New Roman"/>
        </w:rPr>
        <w:t>ave</w:t>
      </w:r>
      <w:r w:rsidRPr="003939A7">
        <w:rPr>
          <w:rFonts w:cs="Times New Roman"/>
        </w:rPr>
        <w:t xml:space="preserve"> her a focus for the first time in years as she had become increasingly housebound and isolated </w:t>
      </w:r>
      <w:r w:rsidR="00EC595D" w:rsidRPr="003939A7">
        <w:rPr>
          <w:rFonts w:cs="Times New Roman"/>
        </w:rPr>
        <w:t xml:space="preserve">because </w:t>
      </w:r>
      <w:r w:rsidR="00C84E46" w:rsidRPr="003939A7">
        <w:rPr>
          <w:rFonts w:cs="Times New Roman"/>
        </w:rPr>
        <w:t>o</w:t>
      </w:r>
      <w:r w:rsidR="006836E7" w:rsidRPr="003939A7">
        <w:rPr>
          <w:rFonts w:cs="Times New Roman"/>
        </w:rPr>
        <w:t xml:space="preserve">f </w:t>
      </w:r>
      <w:r w:rsidR="00C84E46" w:rsidRPr="003939A7">
        <w:rPr>
          <w:rFonts w:cs="Times New Roman"/>
        </w:rPr>
        <w:t>her</w:t>
      </w:r>
      <w:r w:rsidRPr="003939A7">
        <w:rPr>
          <w:rFonts w:cs="Times New Roman"/>
        </w:rPr>
        <w:t xml:space="preserve"> mental illness</w:t>
      </w:r>
      <w:r w:rsidR="00EC595D" w:rsidRPr="003939A7">
        <w:rPr>
          <w:rFonts w:cs="Times New Roman"/>
        </w:rPr>
        <w:t>;</w:t>
      </w:r>
      <w:r w:rsidRPr="003939A7">
        <w:rPr>
          <w:rFonts w:cs="Times New Roman"/>
        </w:rPr>
        <w:t xml:space="preserve">  it also reduced her self-harming</w:t>
      </w:r>
      <w:r w:rsidR="00EC595D" w:rsidRPr="003939A7">
        <w:rPr>
          <w:rFonts w:cs="Times New Roman"/>
        </w:rPr>
        <w:t>,</w:t>
      </w:r>
      <w:r w:rsidRPr="003939A7">
        <w:rPr>
          <w:rFonts w:cs="Times New Roman"/>
        </w:rPr>
        <w:t xml:space="preserve"> and for her this was very significant. She shared: </w:t>
      </w:r>
    </w:p>
    <w:p w14:paraId="75ECE266" w14:textId="77777777" w:rsidR="00FB43FA" w:rsidRPr="003939A7" w:rsidRDefault="00FB43FA" w:rsidP="00ED209E">
      <w:pPr>
        <w:tabs>
          <w:tab w:val="left" w:pos="1276"/>
        </w:tabs>
        <w:spacing w:after="0" w:line="360" w:lineRule="auto"/>
        <w:ind w:left="720" w:right="720"/>
        <w:jc w:val="both"/>
        <w:rPr>
          <w:rFonts w:cs="Times New Roman"/>
          <w:i/>
        </w:rPr>
      </w:pPr>
      <w:r w:rsidRPr="003939A7">
        <w:rPr>
          <w:rFonts w:cs="Times New Roman"/>
          <w:i/>
        </w:rPr>
        <w:lastRenderedPageBreak/>
        <w:t>“there were two things, one I hadn’t committed to anything for… over… three years, so for me to actually</w:t>
      </w:r>
      <w:r w:rsidR="009E3658" w:rsidRPr="003939A7">
        <w:rPr>
          <w:rFonts w:cs="Times New Roman"/>
          <w:i/>
        </w:rPr>
        <w:t xml:space="preserve"> </w:t>
      </w:r>
      <w:r w:rsidRPr="003939A7">
        <w:rPr>
          <w:rFonts w:cs="Times New Roman"/>
          <w:i/>
        </w:rPr>
        <w:t>commit to something was quite a big thing anyway. But then also to commit to this I also had to be disciplined because unfortunately at times I self-harm really badly so to commit to this I had to agree with my husband that on the day I come here I would not self-harm, and the first week I did but since then I haven’t”</w:t>
      </w:r>
      <w:r w:rsidR="004240DF" w:rsidRPr="003939A7">
        <w:rPr>
          <w:rFonts w:cs="Times New Roman"/>
          <w:i/>
        </w:rPr>
        <w:t xml:space="preserve"> </w:t>
      </w:r>
      <w:r w:rsidR="004240DF" w:rsidRPr="003939A7">
        <w:rPr>
          <w:rFonts w:cs="Times New Roman"/>
        </w:rPr>
        <w:t>(</w:t>
      </w:r>
      <w:r w:rsidR="00AF201C" w:rsidRPr="003939A7">
        <w:rPr>
          <w:rFonts w:cs="Times New Roman"/>
        </w:rPr>
        <w:t>Female p</w:t>
      </w:r>
      <w:r w:rsidR="00EC595D" w:rsidRPr="003939A7">
        <w:rPr>
          <w:rFonts w:cs="Times New Roman"/>
        </w:rPr>
        <w:t xml:space="preserve">articipant, Gp 2 </w:t>
      </w:r>
      <w:r w:rsidR="004240DF" w:rsidRPr="003939A7">
        <w:rPr>
          <w:rFonts w:cs="Times New Roman"/>
        </w:rPr>
        <w:t xml:space="preserve">Focus </w:t>
      </w:r>
      <w:r w:rsidR="00AF201C" w:rsidRPr="003939A7">
        <w:rPr>
          <w:rFonts w:cs="Times New Roman"/>
        </w:rPr>
        <w:t>G</w:t>
      </w:r>
      <w:r w:rsidR="004240DF" w:rsidRPr="003939A7">
        <w:rPr>
          <w:rFonts w:cs="Times New Roman"/>
        </w:rPr>
        <w:t>roup</w:t>
      </w:r>
      <w:r w:rsidR="00EC595D" w:rsidRPr="003939A7">
        <w:rPr>
          <w:rFonts w:cs="Times New Roman"/>
        </w:rPr>
        <w:t>,</w:t>
      </w:r>
      <w:r w:rsidR="004240DF" w:rsidRPr="003939A7">
        <w:rPr>
          <w:rFonts w:cs="Times New Roman"/>
        </w:rPr>
        <w:t xml:space="preserve"> end of</w:t>
      </w:r>
      <w:r w:rsidR="004F0157" w:rsidRPr="003939A7">
        <w:rPr>
          <w:rFonts w:cs="Times New Roman"/>
        </w:rPr>
        <w:t xml:space="preserve"> 10 weeks</w:t>
      </w:r>
      <w:r w:rsidR="004240DF" w:rsidRPr="003939A7">
        <w:rPr>
          <w:rFonts w:cs="Times New Roman"/>
        </w:rPr>
        <w:t>)</w:t>
      </w:r>
      <w:r w:rsidRPr="003939A7">
        <w:rPr>
          <w:rFonts w:cs="Times New Roman"/>
        </w:rPr>
        <w:t>.</w:t>
      </w:r>
    </w:p>
    <w:p w14:paraId="1BB65087" w14:textId="77777777" w:rsidR="00FB43FA" w:rsidRPr="003939A7" w:rsidRDefault="00FB43FA" w:rsidP="00FB43FA">
      <w:pPr>
        <w:tabs>
          <w:tab w:val="left" w:pos="1276"/>
        </w:tabs>
        <w:spacing w:after="0" w:line="360" w:lineRule="auto"/>
        <w:jc w:val="both"/>
        <w:rPr>
          <w:rFonts w:cs="Times New Roman"/>
          <w:i/>
        </w:rPr>
      </w:pPr>
    </w:p>
    <w:p w14:paraId="3C3C0D0E" w14:textId="77777777" w:rsidR="00FB43FA" w:rsidRPr="003939A7" w:rsidRDefault="00FB43FA" w:rsidP="00FB43FA">
      <w:pPr>
        <w:tabs>
          <w:tab w:val="left" w:pos="1276"/>
        </w:tabs>
        <w:spacing w:after="0" w:line="360" w:lineRule="auto"/>
        <w:jc w:val="both"/>
        <w:rPr>
          <w:rFonts w:cs="Times New Roman"/>
          <w:i/>
        </w:rPr>
      </w:pPr>
      <w:r w:rsidRPr="003939A7">
        <w:rPr>
          <w:rFonts w:cs="Times New Roman"/>
        </w:rPr>
        <w:t>It is important to note that participating in Human Henge d</w:t>
      </w:r>
      <w:r w:rsidR="007D2537" w:rsidRPr="003939A7">
        <w:rPr>
          <w:rFonts w:cs="Times New Roman"/>
        </w:rPr>
        <w:t>id</w:t>
      </w:r>
      <w:r w:rsidRPr="003939A7">
        <w:rPr>
          <w:rFonts w:cs="Times New Roman"/>
        </w:rPr>
        <w:t xml:space="preserve"> not eradicate </w:t>
      </w:r>
      <w:r w:rsidR="00EC595D" w:rsidRPr="003939A7">
        <w:rPr>
          <w:rFonts w:cs="Times New Roman"/>
        </w:rPr>
        <w:t xml:space="preserve">all </w:t>
      </w:r>
      <w:r w:rsidRPr="003939A7">
        <w:rPr>
          <w:rFonts w:cs="Times New Roman"/>
        </w:rPr>
        <w:t xml:space="preserve">the ongoing mental health challenges that participants faced, instead it provided them with more confidence and </w:t>
      </w:r>
      <w:r w:rsidR="00EC595D" w:rsidRPr="003939A7">
        <w:rPr>
          <w:rFonts w:cs="Times New Roman"/>
        </w:rPr>
        <w:t xml:space="preserve">a </w:t>
      </w:r>
      <w:r w:rsidRPr="003939A7">
        <w:rPr>
          <w:rFonts w:cs="Times New Roman"/>
        </w:rPr>
        <w:t>belief in their abilities to manage these challenges</w:t>
      </w:r>
      <w:r w:rsidR="007D2537" w:rsidRPr="003939A7">
        <w:rPr>
          <w:rFonts w:cs="Times New Roman"/>
        </w:rPr>
        <w:t>. O</w:t>
      </w:r>
      <w:r w:rsidRPr="003939A7">
        <w:rPr>
          <w:rFonts w:cs="Times New Roman"/>
        </w:rPr>
        <w:t>ne of the female participants in Group 3 noted</w:t>
      </w:r>
      <w:r w:rsidRPr="003939A7">
        <w:rPr>
          <w:rFonts w:cs="Times New Roman"/>
          <w:i/>
        </w:rPr>
        <w:t xml:space="preserve"> “I think I've learned that I can cope with like my symptoms a lot better, like before I would just run away, but now I'm like learning to deal with it”. </w:t>
      </w:r>
    </w:p>
    <w:p w14:paraId="66CDACE6" w14:textId="77777777" w:rsidR="00FB43FA" w:rsidRPr="003939A7" w:rsidRDefault="00FB43FA" w:rsidP="00FB43FA">
      <w:pPr>
        <w:tabs>
          <w:tab w:val="left" w:pos="1276"/>
        </w:tabs>
        <w:spacing w:after="0" w:line="360" w:lineRule="auto"/>
        <w:jc w:val="both"/>
        <w:rPr>
          <w:rFonts w:cs="Times New Roman"/>
          <w:i/>
        </w:rPr>
      </w:pPr>
    </w:p>
    <w:p w14:paraId="7B6ED316" w14:textId="77777777" w:rsidR="006A7A6C" w:rsidRPr="003939A7" w:rsidRDefault="006A7A6C" w:rsidP="00876312">
      <w:pPr>
        <w:spacing w:after="0" w:line="360" w:lineRule="auto"/>
        <w:jc w:val="both"/>
        <w:rPr>
          <w:rFonts w:cs="Arial"/>
          <w:b/>
        </w:rPr>
      </w:pPr>
      <w:r w:rsidRPr="003939A7">
        <w:rPr>
          <w:rFonts w:cs="Arial"/>
          <w:b/>
        </w:rPr>
        <w:t>Discussion</w:t>
      </w:r>
    </w:p>
    <w:p w14:paraId="65A4E388" w14:textId="4E4A2E58" w:rsidR="004F3F76" w:rsidRPr="003939A7" w:rsidRDefault="00A739AB" w:rsidP="00876312">
      <w:pPr>
        <w:spacing w:after="0" w:line="360" w:lineRule="auto"/>
        <w:jc w:val="both"/>
      </w:pPr>
      <w:r w:rsidRPr="003939A7">
        <w:t>Th</w:t>
      </w:r>
      <w:r w:rsidR="00B33942" w:rsidRPr="003939A7">
        <w:t>e</w:t>
      </w:r>
      <w:r w:rsidR="0066180C" w:rsidRPr="003939A7">
        <w:t xml:space="preserve"> objective of the </w:t>
      </w:r>
      <w:r w:rsidR="00ED4B0B" w:rsidRPr="003939A7">
        <w:t>study</w:t>
      </w:r>
      <w:r w:rsidR="00AE542F" w:rsidRPr="003939A7">
        <w:t xml:space="preserve"> </w:t>
      </w:r>
      <w:r w:rsidR="0066180C" w:rsidRPr="003939A7">
        <w:t>was to investigate</w:t>
      </w:r>
      <w:r w:rsidRPr="003939A7">
        <w:t xml:space="preserve"> whether</w:t>
      </w:r>
      <w:r w:rsidR="0066180C" w:rsidRPr="003939A7">
        <w:t xml:space="preserve"> </w:t>
      </w:r>
      <w:r w:rsidR="00B6260E" w:rsidRPr="003939A7">
        <w:t xml:space="preserve">people with mental </w:t>
      </w:r>
      <w:r w:rsidR="00912CCC" w:rsidRPr="003939A7">
        <w:t>health conditions could benefit</w:t>
      </w:r>
      <w:r w:rsidR="00A74872" w:rsidRPr="003939A7">
        <w:t xml:space="preserve"> </w:t>
      </w:r>
      <w:r w:rsidR="000949B7" w:rsidRPr="003939A7">
        <w:t xml:space="preserve">over the </w:t>
      </w:r>
      <w:r w:rsidR="00ED4B0B" w:rsidRPr="003939A7">
        <w:t xml:space="preserve">long-term </w:t>
      </w:r>
      <w:r w:rsidR="00912CCC" w:rsidRPr="003939A7">
        <w:t xml:space="preserve">from </w:t>
      </w:r>
      <w:r w:rsidR="00B6260E" w:rsidRPr="003939A7">
        <w:t xml:space="preserve">creative exploration of </w:t>
      </w:r>
      <w:r w:rsidR="004B20F6" w:rsidRPr="003939A7">
        <w:t>Neolithic landscapes</w:t>
      </w:r>
      <w:r w:rsidR="00376D93" w:rsidRPr="003939A7">
        <w:t>.</w:t>
      </w:r>
      <w:r w:rsidR="00B6260E" w:rsidRPr="003939A7">
        <w:t xml:space="preserve"> </w:t>
      </w:r>
      <w:r w:rsidR="00F702A0" w:rsidRPr="003939A7">
        <w:t>Descriptive analysis showed that the SWEMWBS score im</w:t>
      </w:r>
      <w:r w:rsidR="003B578A" w:rsidRPr="003939A7">
        <w:t>proved most in participants from</w:t>
      </w:r>
      <w:r w:rsidR="00F702A0" w:rsidRPr="003939A7">
        <w:t xml:space="preserve"> </w:t>
      </w:r>
      <w:r w:rsidR="00C61294" w:rsidRPr="003939A7">
        <w:t>G</w:t>
      </w:r>
      <w:r w:rsidR="00F702A0" w:rsidRPr="003939A7">
        <w:t xml:space="preserve">roup 3 </w:t>
      </w:r>
      <w:r w:rsidR="00423F34" w:rsidRPr="003939A7">
        <w:t>over time</w:t>
      </w:r>
      <w:r w:rsidR="00F702A0" w:rsidRPr="003939A7">
        <w:t xml:space="preserve"> (Figure 1). </w:t>
      </w:r>
      <w:r w:rsidR="008569CF" w:rsidRPr="003939A7">
        <w:t xml:space="preserve">Further detailed quantitative </w:t>
      </w:r>
      <w:r w:rsidR="000E3985" w:rsidRPr="003939A7">
        <w:t xml:space="preserve">analysis </w:t>
      </w:r>
      <w:r w:rsidR="00C61294" w:rsidRPr="003939A7">
        <w:t xml:space="preserve">of the study sample </w:t>
      </w:r>
      <w:r w:rsidR="000E3985" w:rsidRPr="003939A7">
        <w:t>showed that</w:t>
      </w:r>
      <w:r w:rsidR="00C61294" w:rsidRPr="003939A7">
        <w:t>,</w:t>
      </w:r>
      <w:r w:rsidR="000E3985" w:rsidRPr="003939A7">
        <w:t xml:space="preserve"> overall</w:t>
      </w:r>
      <w:r w:rsidR="00C61294" w:rsidRPr="003939A7">
        <w:t>,</w:t>
      </w:r>
      <w:r w:rsidR="00C95464" w:rsidRPr="003939A7">
        <w:t xml:space="preserve"> there were significant </w:t>
      </w:r>
      <w:r w:rsidR="001D5FAA" w:rsidRPr="003939A7">
        <w:t xml:space="preserve">improvements </w:t>
      </w:r>
      <w:r w:rsidR="00F43F77" w:rsidRPr="003939A7">
        <w:t xml:space="preserve">in the </w:t>
      </w:r>
      <w:r w:rsidR="002F66B9" w:rsidRPr="003939A7">
        <w:t>median</w:t>
      </w:r>
      <w:r w:rsidR="00F43F77" w:rsidRPr="003939A7">
        <w:t xml:space="preserve"> SWEMWBS score </w:t>
      </w:r>
      <w:r w:rsidR="002F66B9" w:rsidRPr="003939A7">
        <w:t xml:space="preserve">from </w:t>
      </w:r>
      <w:r w:rsidR="00C61294" w:rsidRPr="003939A7">
        <w:t xml:space="preserve">the </w:t>
      </w:r>
      <w:r w:rsidR="002F66B9" w:rsidRPr="003939A7">
        <w:t>baseline</w:t>
      </w:r>
      <w:r w:rsidR="00C61294" w:rsidRPr="003939A7">
        <w:t xml:space="preserve"> assessment</w:t>
      </w:r>
      <w:r w:rsidR="002F66B9" w:rsidRPr="003939A7">
        <w:t xml:space="preserve"> to </w:t>
      </w:r>
      <w:r w:rsidR="00C61294" w:rsidRPr="003939A7">
        <w:t>later</w:t>
      </w:r>
      <w:r w:rsidR="002F66B9" w:rsidRPr="003939A7">
        <w:t xml:space="preserve"> study points</w:t>
      </w:r>
      <w:r w:rsidR="00C61294" w:rsidRPr="003939A7">
        <w:t>:</w:t>
      </w:r>
      <w:r w:rsidR="008A42B9" w:rsidRPr="003939A7">
        <w:t xml:space="preserve"> midpoint</w:t>
      </w:r>
      <w:r w:rsidR="00C61294" w:rsidRPr="003939A7">
        <w:t>;</w:t>
      </w:r>
      <w:r w:rsidR="002F66B9" w:rsidRPr="003939A7">
        <w:t xml:space="preserve"> </w:t>
      </w:r>
      <w:r w:rsidR="008A42B9" w:rsidRPr="003939A7">
        <w:t xml:space="preserve">end of </w:t>
      </w:r>
      <w:r w:rsidR="00780864" w:rsidRPr="003939A7">
        <w:t>intervention</w:t>
      </w:r>
      <w:r w:rsidR="00C61294" w:rsidRPr="003939A7">
        <w:t xml:space="preserve">; </w:t>
      </w:r>
      <w:r w:rsidR="002F66B9" w:rsidRPr="003939A7">
        <w:t xml:space="preserve">and one-year post </w:t>
      </w:r>
      <w:r w:rsidR="00C61294" w:rsidRPr="003939A7">
        <w:t xml:space="preserve">intervention. </w:t>
      </w:r>
    </w:p>
    <w:p w14:paraId="01B9D205" w14:textId="77777777" w:rsidR="00ED4B0B" w:rsidRPr="003939A7" w:rsidRDefault="00ED4B0B" w:rsidP="00876312">
      <w:pPr>
        <w:spacing w:after="0" w:line="360" w:lineRule="auto"/>
        <w:jc w:val="both"/>
      </w:pPr>
    </w:p>
    <w:p w14:paraId="50BAB5B9" w14:textId="41344C6A" w:rsidR="008D66AA" w:rsidRPr="003939A7" w:rsidRDefault="00AF2257" w:rsidP="00876312">
      <w:pPr>
        <w:spacing w:after="0" w:line="360" w:lineRule="auto"/>
        <w:jc w:val="both"/>
      </w:pPr>
      <w:r w:rsidRPr="003939A7">
        <w:t>T</w:t>
      </w:r>
      <w:r w:rsidR="00826ABA" w:rsidRPr="003939A7">
        <w:t xml:space="preserve">he </w:t>
      </w:r>
      <w:r w:rsidRPr="003939A7">
        <w:t xml:space="preserve">distribution of </w:t>
      </w:r>
      <w:r w:rsidR="005C0876" w:rsidRPr="003939A7">
        <w:t xml:space="preserve">SWEMWBS score between women and men in this study were similar </w:t>
      </w:r>
      <w:r w:rsidR="00C61294" w:rsidRPr="003939A7">
        <w:t xml:space="preserve">but </w:t>
      </w:r>
      <w:r w:rsidR="00826ABA" w:rsidRPr="003939A7">
        <w:t xml:space="preserve">could reflect the fact that the SWEMWBS questionnaire is less sensitive to gender differences as a nationally representative study </w:t>
      </w:r>
      <w:r w:rsidR="002C16BF" w:rsidRPr="003939A7">
        <w:t xml:space="preserve">in the UK </w:t>
      </w:r>
      <w:r w:rsidR="00826ABA" w:rsidRPr="003939A7">
        <w:t xml:space="preserve">for mental </w:t>
      </w:r>
      <w:r w:rsidR="00541D12" w:rsidRPr="003939A7">
        <w:t xml:space="preserve">health </w:t>
      </w:r>
      <w:r w:rsidR="00826ABA" w:rsidRPr="003939A7">
        <w:t xml:space="preserve">well-being </w:t>
      </w:r>
      <w:r w:rsidR="00E05310" w:rsidRPr="003939A7">
        <w:t xml:space="preserve">norms </w:t>
      </w:r>
      <w:r w:rsidR="00826ABA" w:rsidRPr="003939A7">
        <w:t xml:space="preserve">using </w:t>
      </w:r>
      <w:r w:rsidR="00337D74" w:rsidRPr="003939A7">
        <w:t xml:space="preserve">this questionnaire has reported </w:t>
      </w:r>
      <w:r w:rsidR="00826ABA" w:rsidRPr="003939A7">
        <w:t>(</w:t>
      </w:r>
      <w:r w:rsidR="00697258" w:rsidRPr="003939A7">
        <w:t>Fat et al.</w:t>
      </w:r>
      <w:r w:rsidR="009E7767" w:rsidRPr="003939A7">
        <w:t>,</w:t>
      </w:r>
      <w:r w:rsidR="00697258" w:rsidRPr="003939A7">
        <w:t xml:space="preserve"> 2016).</w:t>
      </w:r>
      <w:r w:rsidR="00826ABA" w:rsidRPr="003939A7">
        <w:t xml:space="preserve"> </w:t>
      </w:r>
      <w:r w:rsidR="00C61294" w:rsidRPr="003939A7">
        <w:t>Regarding</w:t>
      </w:r>
      <w:r w:rsidR="00B62CBB" w:rsidRPr="003939A7">
        <w:t xml:space="preserve"> the improved </w:t>
      </w:r>
      <w:r w:rsidR="000A4F4B" w:rsidRPr="003939A7">
        <w:t xml:space="preserve">SWEMWBS </w:t>
      </w:r>
      <w:r w:rsidR="00423F34" w:rsidRPr="003939A7">
        <w:t>scores in</w:t>
      </w:r>
      <w:r w:rsidR="00B62CBB" w:rsidRPr="003939A7">
        <w:t xml:space="preserve"> </w:t>
      </w:r>
      <w:r w:rsidR="00C61294" w:rsidRPr="003939A7">
        <w:t>G</w:t>
      </w:r>
      <w:r w:rsidR="00B62CBB" w:rsidRPr="003939A7">
        <w:t xml:space="preserve">roups 2 and 3, it </w:t>
      </w:r>
      <w:r w:rsidR="00C61294" w:rsidRPr="003939A7">
        <w:t xml:space="preserve">may be </w:t>
      </w:r>
      <w:r w:rsidR="00C84E46" w:rsidRPr="003939A7">
        <w:t>noted that</w:t>
      </w:r>
      <w:r w:rsidR="00C61294" w:rsidRPr="003939A7">
        <w:t xml:space="preserve"> participants in G</w:t>
      </w:r>
      <w:r w:rsidR="00B62CBB" w:rsidRPr="003939A7">
        <w:t xml:space="preserve">roup 1 had a higher mean SWEMWBS score at the start of the </w:t>
      </w:r>
      <w:r w:rsidR="00780864" w:rsidRPr="003939A7">
        <w:t>intervention</w:t>
      </w:r>
      <w:r w:rsidR="00B62CBB" w:rsidRPr="003939A7">
        <w:t xml:space="preserve"> </w:t>
      </w:r>
      <w:r w:rsidR="007D78F3" w:rsidRPr="003939A7">
        <w:t xml:space="preserve">and </w:t>
      </w:r>
      <w:r w:rsidR="006D1D9E" w:rsidRPr="003939A7">
        <w:t xml:space="preserve">also </w:t>
      </w:r>
      <w:r w:rsidR="007D78F3" w:rsidRPr="003939A7">
        <w:t xml:space="preserve">tended to be </w:t>
      </w:r>
      <w:r w:rsidR="00F8164E" w:rsidRPr="003939A7">
        <w:t xml:space="preserve">older than the participants in the other two groups. </w:t>
      </w:r>
      <w:r w:rsidR="005C5206" w:rsidRPr="003939A7">
        <w:t xml:space="preserve">Furthermore, participants in </w:t>
      </w:r>
      <w:r w:rsidR="00C61294" w:rsidRPr="003939A7">
        <w:t>Group 3</w:t>
      </w:r>
      <w:r w:rsidR="005C5206" w:rsidRPr="003939A7">
        <w:t xml:space="preserve"> </w:t>
      </w:r>
      <w:r w:rsidR="00C61294" w:rsidRPr="003939A7">
        <w:t xml:space="preserve">experienced </w:t>
      </w:r>
      <w:r w:rsidR="006F0DAA" w:rsidRPr="003939A7">
        <w:t>a different heritage environment</w:t>
      </w:r>
      <w:r w:rsidR="00E37D69" w:rsidRPr="003939A7">
        <w:t xml:space="preserve"> </w:t>
      </w:r>
      <w:r w:rsidR="00574714" w:rsidRPr="003939A7">
        <w:t>(</w:t>
      </w:r>
      <w:r w:rsidR="00E37D69" w:rsidRPr="003939A7">
        <w:t>Avebury</w:t>
      </w:r>
      <w:r w:rsidR="00574714" w:rsidRPr="003939A7">
        <w:t>)</w:t>
      </w:r>
      <w:r w:rsidR="006F0DAA" w:rsidRPr="003939A7">
        <w:t xml:space="preserve"> </w:t>
      </w:r>
      <w:r w:rsidR="00C61294" w:rsidRPr="003939A7">
        <w:t xml:space="preserve">and </w:t>
      </w:r>
      <w:r w:rsidR="004B20F6" w:rsidRPr="003939A7">
        <w:t>we do not know the impact of different Neolithic sites upon mental well-being.</w:t>
      </w:r>
      <w:r w:rsidR="006F0DAA" w:rsidRPr="003939A7">
        <w:t xml:space="preserve"> </w:t>
      </w:r>
      <w:r w:rsidR="00AE76F9" w:rsidRPr="003939A7">
        <w:t xml:space="preserve">The </w:t>
      </w:r>
      <w:r w:rsidR="0063671C" w:rsidRPr="003939A7">
        <w:t>substantial</w:t>
      </w:r>
      <w:r w:rsidR="00AE76F9" w:rsidRPr="003939A7">
        <w:t xml:space="preserve"> differences </w:t>
      </w:r>
      <w:r w:rsidR="0063671C" w:rsidRPr="003939A7">
        <w:t xml:space="preserve">in SWEMWBS score </w:t>
      </w:r>
      <w:r w:rsidR="00AE76F9" w:rsidRPr="003939A7">
        <w:t>from baseline to post-</w:t>
      </w:r>
      <w:r w:rsidR="00780864" w:rsidRPr="003939A7">
        <w:t>intervention</w:t>
      </w:r>
      <w:r w:rsidR="00AE76F9" w:rsidRPr="003939A7">
        <w:t xml:space="preserve"> assessment </w:t>
      </w:r>
      <w:r w:rsidR="0063671C" w:rsidRPr="003939A7">
        <w:t>in the study participants</w:t>
      </w:r>
      <w:r w:rsidR="00AE76F9" w:rsidRPr="003939A7">
        <w:t xml:space="preserve"> </w:t>
      </w:r>
      <w:r w:rsidR="0063671C" w:rsidRPr="003939A7">
        <w:t xml:space="preserve">also </w:t>
      </w:r>
      <w:r w:rsidR="00D62FF1" w:rsidRPr="003939A7">
        <w:t>highlight</w:t>
      </w:r>
      <w:r w:rsidR="00C61294" w:rsidRPr="003939A7">
        <w:t>s</w:t>
      </w:r>
      <w:r w:rsidR="00D62FF1" w:rsidRPr="003939A7">
        <w:t xml:space="preserve"> </w:t>
      </w:r>
      <w:r w:rsidR="0063671C" w:rsidRPr="003939A7">
        <w:t xml:space="preserve">the fact </w:t>
      </w:r>
      <w:r w:rsidR="00D62FF1" w:rsidRPr="003939A7">
        <w:t xml:space="preserve">that involvement in a creative exploration of the </w:t>
      </w:r>
      <w:r w:rsidR="004F0157" w:rsidRPr="003939A7">
        <w:t xml:space="preserve">prehistoric </w:t>
      </w:r>
      <w:r w:rsidR="00D62FF1" w:rsidRPr="003939A7">
        <w:t xml:space="preserve">landscape  </w:t>
      </w:r>
      <w:r w:rsidR="00A32309" w:rsidRPr="003939A7">
        <w:t xml:space="preserve">has </w:t>
      </w:r>
      <w:r w:rsidR="00D62FF1" w:rsidRPr="003939A7">
        <w:t xml:space="preserve">had a </w:t>
      </w:r>
      <w:r w:rsidR="00C61294" w:rsidRPr="003939A7">
        <w:t>significant</w:t>
      </w:r>
      <w:r w:rsidR="00D62FF1" w:rsidRPr="003939A7">
        <w:t xml:space="preserve"> positive impact upon their mental health well-being.</w:t>
      </w:r>
      <w:r w:rsidR="00AB1C3F" w:rsidRPr="003939A7">
        <w:t xml:space="preserve"> Generally speaking, </w:t>
      </w:r>
      <w:r w:rsidR="00946FFE" w:rsidRPr="003939A7">
        <w:t xml:space="preserve">these findings </w:t>
      </w:r>
      <w:r w:rsidR="00AB1C3F" w:rsidRPr="003939A7">
        <w:t>are in line with earlier research</w:t>
      </w:r>
      <w:r w:rsidR="004B20F6" w:rsidRPr="003939A7">
        <w:t>(presented in the introduction)</w:t>
      </w:r>
      <w:r w:rsidR="00163D94" w:rsidRPr="003939A7">
        <w:t xml:space="preserve"> </w:t>
      </w:r>
      <w:r w:rsidR="00C61294" w:rsidRPr="003939A7">
        <w:t xml:space="preserve">suggesting </w:t>
      </w:r>
      <w:r w:rsidR="00C61294" w:rsidRPr="003939A7">
        <w:lastRenderedPageBreak/>
        <w:t xml:space="preserve">that </w:t>
      </w:r>
      <w:r w:rsidR="00AB1C3F" w:rsidRPr="003939A7">
        <w:t xml:space="preserve">nature </w:t>
      </w:r>
      <w:r w:rsidR="008D38EA" w:rsidRPr="003939A7">
        <w:t>and</w:t>
      </w:r>
      <w:r w:rsidR="00AB1C3F" w:rsidRPr="003939A7">
        <w:t xml:space="preserve"> green treatment</w:t>
      </w:r>
      <w:r w:rsidR="00335AD8" w:rsidRPr="003939A7">
        <w:t>s targeted at</w:t>
      </w:r>
      <w:r w:rsidR="00AB1C3F" w:rsidRPr="003939A7">
        <w:t xml:space="preserve"> people with mental health problems could </w:t>
      </w:r>
      <w:r w:rsidR="00E1747B" w:rsidRPr="003939A7">
        <w:t>improve</w:t>
      </w:r>
      <w:r w:rsidR="00AB1C3F" w:rsidRPr="003939A7">
        <w:t xml:space="preserve"> the</w:t>
      </w:r>
      <w:r w:rsidR="00E1747B" w:rsidRPr="003939A7">
        <w:t xml:space="preserve">ir </w:t>
      </w:r>
      <w:r w:rsidR="00E90B9F" w:rsidRPr="003939A7">
        <w:t>mental health well-being</w:t>
      </w:r>
      <w:r w:rsidR="00AB1C3F" w:rsidRPr="003939A7">
        <w:t xml:space="preserve"> (</w:t>
      </w:r>
      <w:r w:rsidR="00184D73" w:rsidRPr="003939A7">
        <w:t>Rolls &amp; Sutherland</w:t>
      </w:r>
      <w:r w:rsidR="009E7767" w:rsidRPr="003939A7">
        <w:t>,</w:t>
      </w:r>
      <w:r w:rsidR="00184D73" w:rsidRPr="003939A7">
        <w:t xml:space="preserve"> 2014;</w:t>
      </w:r>
      <w:r w:rsidR="005E58F1" w:rsidRPr="003939A7">
        <w:t xml:space="preserve">; </w:t>
      </w:r>
      <w:r w:rsidR="00AD0AD5" w:rsidRPr="003939A7">
        <w:t>Cipriani et al.</w:t>
      </w:r>
      <w:r w:rsidR="009E7767" w:rsidRPr="003939A7">
        <w:t xml:space="preserve">, </w:t>
      </w:r>
      <w:r w:rsidR="00AD0AD5" w:rsidRPr="003939A7">
        <w:t>2017</w:t>
      </w:r>
      <w:r w:rsidR="00194BBE" w:rsidRPr="003939A7">
        <w:t xml:space="preserve">; </w:t>
      </w:r>
      <w:r w:rsidR="00AA45D6" w:rsidRPr="003939A7">
        <w:t>Hosseinpoor</w:t>
      </w:r>
      <w:r w:rsidR="009E7767" w:rsidRPr="003939A7">
        <w:t>,</w:t>
      </w:r>
      <w:r w:rsidR="00AA45D6" w:rsidRPr="003939A7">
        <w:t xml:space="preserve"> </w:t>
      </w:r>
      <w:r w:rsidR="00194BBE" w:rsidRPr="003939A7">
        <w:t>2018</w:t>
      </w:r>
      <w:r w:rsidR="005E58F1" w:rsidRPr="003939A7">
        <w:t>)</w:t>
      </w:r>
      <w:r w:rsidR="00AB1C3F" w:rsidRPr="003939A7">
        <w:t>.</w:t>
      </w:r>
    </w:p>
    <w:p w14:paraId="25DA64FC" w14:textId="77777777" w:rsidR="008D66AA" w:rsidRPr="003939A7" w:rsidRDefault="008D66AA" w:rsidP="00876312">
      <w:pPr>
        <w:spacing w:after="0" w:line="360" w:lineRule="auto"/>
        <w:jc w:val="both"/>
      </w:pPr>
    </w:p>
    <w:p w14:paraId="494348B2" w14:textId="77777777" w:rsidR="00E658F6" w:rsidRPr="003939A7" w:rsidRDefault="004F0157" w:rsidP="00AC402E">
      <w:pPr>
        <w:spacing w:after="0" w:line="360" w:lineRule="auto"/>
        <w:jc w:val="both"/>
      </w:pPr>
      <w:r w:rsidRPr="003939A7">
        <w:t xml:space="preserve">This was further supported by the </w:t>
      </w:r>
      <w:r w:rsidR="00D62FF1" w:rsidRPr="003939A7">
        <w:t xml:space="preserve">qualitative data </w:t>
      </w:r>
      <w:r w:rsidR="00DF27F4" w:rsidRPr="003939A7">
        <w:t xml:space="preserve">themes </w:t>
      </w:r>
      <w:r w:rsidR="00666DAF" w:rsidRPr="003939A7">
        <w:t xml:space="preserve">that emphasized </w:t>
      </w:r>
      <w:r w:rsidR="00800875" w:rsidRPr="003939A7">
        <w:t>re</w:t>
      </w:r>
      <w:r w:rsidR="00D62FF1" w:rsidRPr="003939A7">
        <w:t xml:space="preserve">connections </w:t>
      </w:r>
      <w:r w:rsidR="00423F34" w:rsidRPr="003939A7">
        <w:t>between people</w:t>
      </w:r>
      <w:r w:rsidR="00D62FF1" w:rsidRPr="003939A7">
        <w:t xml:space="preserve"> and place. Discrimination </w:t>
      </w:r>
      <w:r w:rsidR="007D2537" w:rsidRPr="003939A7">
        <w:t xml:space="preserve">against </w:t>
      </w:r>
      <w:r w:rsidR="00D62FF1" w:rsidRPr="003939A7">
        <w:t xml:space="preserve">people living with mental illness is a </w:t>
      </w:r>
      <w:r w:rsidR="00800875" w:rsidRPr="003939A7">
        <w:t>significant issue</w:t>
      </w:r>
      <w:r w:rsidR="00EE1778" w:rsidRPr="003939A7">
        <w:t xml:space="preserve">; almost nine out of 10 people with a mental health problem </w:t>
      </w:r>
      <w:r w:rsidR="00666DAF" w:rsidRPr="003939A7">
        <w:t xml:space="preserve">report that </w:t>
      </w:r>
      <w:r w:rsidR="00EE1778" w:rsidRPr="003939A7">
        <w:t>they have experienced stigma and discrimination</w:t>
      </w:r>
      <w:r w:rsidR="00800875" w:rsidRPr="003939A7">
        <w:t xml:space="preserve"> </w:t>
      </w:r>
      <w:r w:rsidR="00AC402E" w:rsidRPr="003939A7">
        <w:t xml:space="preserve">resulting in two-thirds </w:t>
      </w:r>
      <w:r w:rsidR="00666DAF" w:rsidRPr="003939A7">
        <w:t xml:space="preserve">of them </w:t>
      </w:r>
      <w:r w:rsidR="00AC402E" w:rsidRPr="003939A7">
        <w:t>stopping activities as a result of their experiences (Time to Change</w:t>
      </w:r>
      <w:r w:rsidR="009E7767" w:rsidRPr="003939A7">
        <w:t>,</w:t>
      </w:r>
      <w:r w:rsidR="00AC402E" w:rsidRPr="003939A7">
        <w:t xml:space="preserve"> 2008). This occurs </w:t>
      </w:r>
      <w:r w:rsidR="00666DAF" w:rsidRPr="003939A7">
        <w:t>through</w:t>
      </w:r>
      <w:r w:rsidR="00AC402E" w:rsidRPr="003939A7">
        <w:t xml:space="preserve"> the </w:t>
      </w:r>
      <w:r w:rsidR="00800875" w:rsidRPr="003939A7">
        <w:t>internalisation of self-stigma resulting in lowered s</w:t>
      </w:r>
      <w:r w:rsidR="009E7767" w:rsidRPr="003939A7">
        <w:t xml:space="preserve">elf-esteem and self-worth (Bhui, </w:t>
      </w:r>
      <w:r w:rsidR="00800875" w:rsidRPr="003939A7">
        <w:t>2016)</w:t>
      </w:r>
      <w:r w:rsidR="00666DAF" w:rsidRPr="003939A7">
        <w:t>. It perpetuates</w:t>
      </w:r>
      <w:r w:rsidR="00800875" w:rsidRPr="003939A7">
        <w:t xml:space="preserve"> self-isolation </w:t>
      </w:r>
      <w:r w:rsidR="00666DAF" w:rsidRPr="003939A7">
        <w:t xml:space="preserve">thereby </w:t>
      </w:r>
      <w:r w:rsidR="00AC402E" w:rsidRPr="003939A7">
        <w:t>propagat</w:t>
      </w:r>
      <w:r w:rsidR="00CF1B1A" w:rsidRPr="003939A7">
        <w:t>ing</w:t>
      </w:r>
      <w:r w:rsidR="00800875" w:rsidRPr="003939A7">
        <w:t xml:space="preserve"> </w:t>
      </w:r>
      <w:r w:rsidR="00CF1B1A" w:rsidRPr="003939A7">
        <w:t>a</w:t>
      </w:r>
      <w:r w:rsidR="00800875" w:rsidRPr="003939A7">
        <w:t xml:space="preserve"> disconnect</w:t>
      </w:r>
      <w:r w:rsidR="00CF1B1A" w:rsidRPr="003939A7">
        <w:t>ion</w:t>
      </w:r>
      <w:r w:rsidR="00800875" w:rsidRPr="003939A7">
        <w:t xml:space="preserve"> from the world </w:t>
      </w:r>
      <w:r w:rsidR="007D2537" w:rsidRPr="003939A7">
        <w:t xml:space="preserve">that </w:t>
      </w:r>
      <w:r w:rsidR="00800875" w:rsidRPr="003939A7">
        <w:t>lead</w:t>
      </w:r>
      <w:r w:rsidR="007D2537" w:rsidRPr="003939A7">
        <w:t>s</w:t>
      </w:r>
      <w:r w:rsidR="00800875" w:rsidRPr="003939A7">
        <w:t xml:space="preserve"> to a negative mental health spiral.</w:t>
      </w:r>
      <w:r w:rsidR="00AC402E" w:rsidRPr="003939A7">
        <w:t xml:space="preserve"> </w:t>
      </w:r>
      <w:r w:rsidR="00AD0708" w:rsidRPr="003939A7">
        <w:t xml:space="preserve"> This </w:t>
      </w:r>
      <w:r w:rsidR="00CF1B1A" w:rsidRPr="003939A7">
        <w:t xml:space="preserve">was </w:t>
      </w:r>
      <w:r w:rsidR="00AD0708" w:rsidRPr="003939A7">
        <w:t>evident in the qualitative data as the majority of participants expressed a disconnection from people due to a fear of st</w:t>
      </w:r>
      <w:r w:rsidR="009E7767" w:rsidRPr="003939A7">
        <w:t>igma as evidenced in the theme “</w:t>
      </w:r>
      <w:r w:rsidR="00AD0708" w:rsidRPr="003939A7">
        <w:t>Being me</w:t>
      </w:r>
      <w:r w:rsidR="009E7767" w:rsidRPr="003939A7">
        <w:t>”</w:t>
      </w:r>
      <w:r w:rsidR="00CF1B1A" w:rsidRPr="003939A7">
        <w:t xml:space="preserve">. Here </w:t>
      </w:r>
      <w:r w:rsidR="00AD0708" w:rsidRPr="003939A7">
        <w:t xml:space="preserve">they articulated feeling accepted in the group </w:t>
      </w:r>
      <w:r w:rsidR="008413A3" w:rsidRPr="003939A7">
        <w:t xml:space="preserve">with the result that they </w:t>
      </w:r>
      <w:r w:rsidR="00423F34" w:rsidRPr="003939A7">
        <w:t>felt more</w:t>
      </w:r>
      <w:r w:rsidR="00AD0708" w:rsidRPr="003939A7">
        <w:t xml:space="preserve"> </w:t>
      </w:r>
      <w:r w:rsidR="00423F34" w:rsidRPr="003939A7">
        <w:t>authentic when out</w:t>
      </w:r>
      <w:r w:rsidR="00CF1B1A" w:rsidRPr="003939A7">
        <w:t xml:space="preserve"> </w:t>
      </w:r>
      <w:r w:rsidR="00AD0708" w:rsidRPr="003939A7">
        <w:t>in wider society</w:t>
      </w:r>
      <w:r w:rsidR="008413A3" w:rsidRPr="003939A7">
        <w:t>.</w:t>
      </w:r>
      <w:r w:rsidR="009037BE" w:rsidRPr="003939A7">
        <w:t xml:space="preserve"> </w:t>
      </w:r>
      <w:r w:rsidR="00E658F6" w:rsidRPr="003939A7">
        <w:t xml:space="preserve"> </w:t>
      </w:r>
    </w:p>
    <w:p w14:paraId="3DEE7878" w14:textId="77777777" w:rsidR="00E658F6" w:rsidRPr="003939A7" w:rsidRDefault="00E658F6" w:rsidP="00AC402E">
      <w:pPr>
        <w:spacing w:after="0" w:line="360" w:lineRule="auto"/>
        <w:jc w:val="both"/>
      </w:pPr>
    </w:p>
    <w:p w14:paraId="2F628CDF" w14:textId="3EA458C4" w:rsidR="00A766F8" w:rsidRPr="003939A7" w:rsidRDefault="00E658F6" w:rsidP="009037BE">
      <w:pPr>
        <w:spacing w:after="0" w:line="360" w:lineRule="auto"/>
        <w:jc w:val="both"/>
      </w:pPr>
      <w:r w:rsidRPr="003939A7">
        <w:t>Th</w:t>
      </w:r>
      <w:r w:rsidR="00911EB9" w:rsidRPr="003939A7">
        <w:t xml:space="preserve">ere are links here to the concept of </w:t>
      </w:r>
      <w:r w:rsidRPr="003939A7">
        <w:t>well-being</w:t>
      </w:r>
      <w:r w:rsidR="00911EB9" w:rsidRPr="003939A7">
        <w:t xml:space="preserve">. </w:t>
      </w:r>
      <w:r w:rsidR="00D822D9" w:rsidRPr="003939A7">
        <w:t>Todres and Galvin (2010, p, 5) drew on the work of Heidegger argu</w:t>
      </w:r>
      <w:r w:rsidR="00911EB9" w:rsidRPr="003939A7">
        <w:t>ing</w:t>
      </w:r>
      <w:r w:rsidR="00D822D9" w:rsidRPr="003939A7">
        <w:t xml:space="preserve"> that “well-being is both a way of being-in-the-world, as well as how this way of being-in the-world is felt as an experience</w:t>
      </w:r>
      <w:r w:rsidR="00911EB9" w:rsidRPr="003939A7">
        <w:t>”</w:t>
      </w:r>
      <w:r w:rsidR="00D822D9" w:rsidRPr="003939A7">
        <w:t xml:space="preserve">.  </w:t>
      </w:r>
      <w:r w:rsidR="00911EB9" w:rsidRPr="003939A7">
        <w:t>C</w:t>
      </w:r>
      <w:r w:rsidR="00D822D9" w:rsidRPr="003939A7">
        <w:t xml:space="preserve">onsidering the notion of </w:t>
      </w:r>
      <w:r w:rsidR="008D496B" w:rsidRPr="003939A7">
        <w:t>connection</w:t>
      </w:r>
      <w:r w:rsidR="00A766F8" w:rsidRPr="003939A7">
        <w:t xml:space="preserve"> </w:t>
      </w:r>
      <w:r w:rsidR="008D496B" w:rsidRPr="003939A7">
        <w:t>described by participants in Human Henge</w:t>
      </w:r>
      <w:r w:rsidRPr="003939A7">
        <w:t xml:space="preserve"> </w:t>
      </w:r>
      <w:r w:rsidR="00911EB9" w:rsidRPr="003939A7">
        <w:t xml:space="preserve">which </w:t>
      </w:r>
      <w:r w:rsidRPr="003939A7">
        <w:t xml:space="preserve">links to the </w:t>
      </w:r>
      <w:r w:rsidR="00A766F8" w:rsidRPr="003939A7">
        <w:t>recovery model of mental health</w:t>
      </w:r>
      <w:r w:rsidRPr="003939A7">
        <w:t>, as c</w:t>
      </w:r>
      <w:r w:rsidR="00A766F8" w:rsidRPr="003939A7">
        <w:t xml:space="preserve">onnectedness </w:t>
      </w:r>
      <w:r w:rsidRPr="003939A7">
        <w:t>is one of the</w:t>
      </w:r>
      <w:r w:rsidR="00A766F8" w:rsidRPr="003939A7">
        <w:t xml:space="preserve"> five recovery processes (Leamy et al. 2011). </w:t>
      </w:r>
      <w:r w:rsidRPr="003939A7">
        <w:t xml:space="preserve">In order to explore this we need to re-consider </w:t>
      </w:r>
      <w:r w:rsidR="00A766F8" w:rsidRPr="003939A7">
        <w:t>Duff’s (2012) ‘enabling’ places</w:t>
      </w:r>
      <w:r w:rsidRPr="003939A7">
        <w:t xml:space="preserve"> for people with mental illness. The first aspect of promoting recovery is through social resources. It is evident how Human Henge expanded the </w:t>
      </w:r>
      <w:r w:rsidR="00862F81" w:rsidRPr="003939A7">
        <w:t>participants’</w:t>
      </w:r>
      <w:r w:rsidRPr="003939A7">
        <w:t xml:space="preserve"> social resources, through increased social contacts with others living with a mental illness which not only provided a sense of acceptance but also a sense of community and </w:t>
      </w:r>
      <w:r w:rsidR="00862F81" w:rsidRPr="003939A7">
        <w:t xml:space="preserve">belonging. </w:t>
      </w:r>
      <w:r w:rsidRPr="003939A7">
        <w:t xml:space="preserve">This continued beyond the length of the programme with many of the participants across the three groups continuing their social </w:t>
      </w:r>
      <w:r w:rsidR="00862F81" w:rsidRPr="003939A7">
        <w:t>engagement</w:t>
      </w:r>
      <w:r w:rsidRPr="003939A7">
        <w:t xml:space="preserve"> a year after the programme ended.</w:t>
      </w:r>
      <w:r w:rsidR="00862F81" w:rsidRPr="003939A7">
        <w:t xml:space="preserve"> </w:t>
      </w:r>
      <w:r w:rsidRPr="003939A7">
        <w:t>Next are material resources, linked to expanding one’s horizon</w:t>
      </w:r>
      <w:r w:rsidR="00862F81" w:rsidRPr="003939A7">
        <w:t xml:space="preserve">. Many </w:t>
      </w:r>
      <w:r w:rsidRPr="003939A7">
        <w:t>o</w:t>
      </w:r>
      <w:r w:rsidR="00862F81" w:rsidRPr="003939A7">
        <w:t>f</w:t>
      </w:r>
      <w:r w:rsidRPr="003939A7">
        <w:t xml:space="preserve"> the participant</w:t>
      </w:r>
      <w:r w:rsidR="00862F81" w:rsidRPr="003939A7">
        <w:t>s</w:t>
      </w:r>
      <w:r w:rsidRPr="003939A7">
        <w:t xml:space="preserve"> in Human Henge had not really </w:t>
      </w:r>
      <w:r w:rsidR="00862F81" w:rsidRPr="003939A7">
        <w:t>engaged</w:t>
      </w:r>
      <w:r w:rsidRPr="003939A7">
        <w:t xml:space="preserve"> with heritage or </w:t>
      </w:r>
      <w:r w:rsidR="00862F81" w:rsidRPr="003939A7">
        <w:t>Neolithic</w:t>
      </w:r>
      <w:r w:rsidRPr="003939A7">
        <w:t xml:space="preserve"> landscapes</w:t>
      </w:r>
      <w:r w:rsidR="00862F81" w:rsidRPr="003939A7">
        <w:t xml:space="preserve"> and perceptions of inaccessibility of heritage are common for individuals who are socially isolated (Todd et al, 2017)</w:t>
      </w:r>
      <w:r w:rsidRPr="003939A7">
        <w:t xml:space="preserve">. </w:t>
      </w:r>
      <w:r w:rsidR="00862F81" w:rsidRPr="003939A7">
        <w:t xml:space="preserve">The Neolithic environments of Stonehenge and Avebury were central to this, as there is a need to use </w:t>
      </w:r>
      <w:r w:rsidR="00EC1DE6" w:rsidRPr="003939A7">
        <w:t>one’s imagination</w:t>
      </w:r>
      <w:r w:rsidR="00862F81" w:rsidRPr="003939A7">
        <w:t xml:space="preserve"> </w:t>
      </w:r>
      <w:r w:rsidR="00EC1DE6" w:rsidRPr="003939A7">
        <w:t xml:space="preserve">regarding what life was like during these times </w:t>
      </w:r>
      <w:r w:rsidR="00862F81" w:rsidRPr="003939A7">
        <w:t xml:space="preserve">as there are no </w:t>
      </w:r>
      <w:r w:rsidR="00EC1DE6" w:rsidRPr="003939A7">
        <w:t xml:space="preserve">absolute with this period of history. </w:t>
      </w:r>
      <w:r w:rsidR="00911EB9" w:rsidRPr="003939A7">
        <w:t xml:space="preserve">Not only did individual’s horizons reading history and creative aspects expand through the programme but so too, did their perceptions of themselves. </w:t>
      </w:r>
      <w:r w:rsidR="00EC1DE6" w:rsidRPr="003939A7">
        <w:t xml:space="preserve">The focus of the programme on them as individuals rather than their mental illness was really important as it enabled them to see their capabilities for growth and development even whilst living with a mental illness. This was apparent in many of the individuals as </w:t>
      </w:r>
      <w:r w:rsidR="00EC1DE6" w:rsidRPr="003939A7">
        <w:lastRenderedPageBreak/>
        <w:t xml:space="preserve">they either re-ignited lost passions or developed new ones such as poetry, photography or confidence to join or establish new mental health groups once the Human Henge programme finished. </w:t>
      </w:r>
      <w:r w:rsidR="00862F81" w:rsidRPr="003939A7">
        <w:t>Central to developing both the social and material resources was the atmosphere created by the Human Henge group</w:t>
      </w:r>
      <w:r w:rsidR="00EC1DE6" w:rsidRPr="003939A7">
        <w:t>, linking to affective resources which are concerned with how individuals feel (Duff 2012).</w:t>
      </w:r>
      <w:r w:rsidR="00B06D47" w:rsidRPr="003939A7">
        <w:t xml:space="preserve"> As identified earlier, many individuals with a mental illness find themselves socially </w:t>
      </w:r>
      <w:r w:rsidR="006724E5" w:rsidRPr="003939A7">
        <w:t>is</w:t>
      </w:r>
      <w:r w:rsidR="00B06D47" w:rsidRPr="003939A7">
        <w:t>olated through direct or perceived negative perceptions of them by others</w:t>
      </w:r>
      <w:r w:rsidR="00862F81" w:rsidRPr="003939A7">
        <w:t>.</w:t>
      </w:r>
      <w:r w:rsidR="00B06D47" w:rsidRPr="003939A7">
        <w:t xml:space="preserve"> This was apparent as many of the participants identified their fears </w:t>
      </w:r>
      <w:r w:rsidR="006724E5" w:rsidRPr="003939A7">
        <w:t xml:space="preserve">at the start of </w:t>
      </w:r>
      <w:r w:rsidR="00B06D47" w:rsidRPr="003939A7">
        <w:t xml:space="preserve">the programme </w:t>
      </w:r>
      <w:r w:rsidR="006724E5" w:rsidRPr="003939A7">
        <w:t xml:space="preserve">which were </w:t>
      </w:r>
      <w:r w:rsidR="00B06D47" w:rsidRPr="003939A7">
        <w:t>linked to meeting new people and being in a gr</w:t>
      </w:r>
      <w:r w:rsidR="006724E5" w:rsidRPr="003939A7">
        <w:t>o</w:t>
      </w:r>
      <w:r w:rsidR="00B06D47" w:rsidRPr="003939A7">
        <w:t xml:space="preserve">up setting. </w:t>
      </w:r>
      <w:r w:rsidR="006724E5" w:rsidRPr="003939A7">
        <w:t xml:space="preserve">A key aspect of </w:t>
      </w:r>
      <w:r w:rsidR="00B06D47" w:rsidRPr="003939A7">
        <w:t>the Human Henge</w:t>
      </w:r>
      <w:r w:rsidR="006724E5" w:rsidRPr="003939A7">
        <w:t xml:space="preserve"> programme was</w:t>
      </w:r>
      <w:r w:rsidR="00B06D47" w:rsidRPr="003939A7">
        <w:t xml:space="preserve"> that </w:t>
      </w:r>
      <w:r w:rsidR="006724E5" w:rsidRPr="003939A7">
        <w:t>participants</w:t>
      </w:r>
      <w:r w:rsidR="00B06D47" w:rsidRPr="003939A7">
        <w:t xml:space="preserve"> felt a sense of space </w:t>
      </w:r>
      <w:r w:rsidR="006724E5" w:rsidRPr="003939A7">
        <w:t xml:space="preserve">both physically and emotionally. Space physically was provided through the landscape and psychologically, through no pressure </w:t>
      </w:r>
      <w:r w:rsidR="00B06D47" w:rsidRPr="003939A7">
        <w:t>to partic</w:t>
      </w:r>
      <w:r w:rsidR="006724E5" w:rsidRPr="003939A7">
        <w:t>i</w:t>
      </w:r>
      <w:r w:rsidR="00B06D47" w:rsidRPr="003939A7">
        <w:t>pate in activities. For example on a group walk, some individ</w:t>
      </w:r>
      <w:r w:rsidR="006724E5" w:rsidRPr="003939A7">
        <w:t xml:space="preserve">uals </w:t>
      </w:r>
      <w:r w:rsidR="00B06D47" w:rsidRPr="003939A7">
        <w:t xml:space="preserve">in the group walked </w:t>
      </w:r>
      <w:r w:rsidR="006724E5" w:rsidRPr="003939A7">
        <w:t xml:space="preserve">together the whole time whilst felt free to spend some time in the group and then some time walking alongside the group but alone. </w:t>
      </w:r>
      <w:r w:rsidR="00D822D9" w:rsidRPr="003939A7">
        <w:t>Bell et al. (2018) argues that a key aspect of the ther</w:t>
      </w:r>
      <w:r w:rsidR="006724E5" w:rsidRPr="003939A7">
        <w:t xml:space="preserve">apeutic </w:t>
      </w:r>
      <w:r w:rsidR="00D822D9" w:rsidRPr="003939A7">
        <w:t>s</w:t>
      </w:r>
      <w:r w:rsidR="006724E5" w:rsidRPr="003939A7">
        <w:t>p</w:t>
      </w:r>
      <w:r w:rsidR="00D822D9" w:rsidRPr="003939A7">
        <w:t xml:space="preserve">ace is </w:t>
      </w:r>
      <w:r w:rsidR="006724E5" w:rsidRPr="003939A7">
        <w:t xml:space="preserve">the provision of opportunities for emotional refuge and </w:t>
      </w:r>
      <w:r w:rsidR="00D822D9" w:rsidRPr="003939A7">
        <w:t>non-demandin</w:t>
      </w:r>
      <w:r w:rsidR="006724E5" w:rsidRPr="003939A7">
        <w:t xml:space="preserve">g </w:t>
      </w:r>
      <w:r w:rsidR="00D822D9" w:rsidRPr="003939A7">
        <w:t>social interaction</w:t>
      </w:r>
      <w:r w:rsidR="006724E5" w:rsidRPr="003939A7">
        <w:t xml:space="preserve">, presenting a </w:t>
      </w:r>
      <w:r w:rsidR="00D822D9" w:rsidRPr="003939A7">
        <w:t>‘hom</w:t>
      </w:r>
      <w:r w:rsidR="006724E5" w:rsidRPr="003939A7">
        <w:t>e-like’</w:t>
      </w:r>
      <w:r w:rsidR="00D822D9" w:rsidRPr="003939A7">
        <w:t xml:space="preserve"> atmos</w:t>
      </w:r>
      <w:r w:rsidR="006724E5" w:rsidRPr="003939A7">
        <w:t xml:space="preserve">phere </w:t>
      </w:r>
      <w:r w:rsidR="00D822D9" w:rsidRPr="003939A7">
        <w:t>promot</w:t>
      </w:r>
      <w:r w:rsidR="006724E5" w:rsidRPr="003939A7">
        <w:t>ing belonging</w:t>
      </w:r>
      <w:r w:rsidR="00D822D9" w:rsidRPr="003939A7">
        <w:t>, security and co</w:t>
      </w:r>
      <w:r w:rsidR="006724E5" w:rsidRPr="003939A7">
        <w:t>m</w:t>
      </w:r>
      <w:r w:rsidR="00D822D9" w:rsidRPr="003939A7">
        <w:t>fort.</w:t>
      </w:r>
    </w:p>
    <w:p w14:paraId="2495F43D" w14:textId="77777777" w:rsidR="006724E5" w:rsidRPr="003939A7" w:rsidRDefault="006724E5" w:rsidP="009037BE">
      <w:pPr>
        <w:spacing w:after="0" w:line="360" w:lineRule="auto"/>
        <w:jc w:val="both"/>
      </w:pPr>
    </w:p>
    <w:p w14:paraId="1494D340" w14:textId="2BA86155" w:rsidR="008C6445" w:rsidRPr="003939A7" w:rsidRDefault="00780864" w:rsidP="00D62FF1">
      <w:pPr>
        <w:spacing w:after="0" w:line="360" w:lineRule="auto"/>
        <w:jc w:val="both"/>
      </w:pPr>
      <w:r w:rsidRPr="003939A7">
        <w:t>Intervention</w:t>
      </w:r>
      <w:r w:rsidR="005309EB" w:rsidRPr="003939A7">
        <w:t>s</w:t>
      </w:r>
      <w:r w:rsidR="00A27E46" w:rsidRPr="003939A7">
        <w:t xml:space="preserve"> such as Human Henge </w:t>
      </w:r>
      <w:r w:rsidR="007624D9" w:rsidRPr="003939A7">
        <w:t xml:space="preserve"> </w:t>
      </w:r>
      <w:r w:rsidR="003C0988" w:rsidRPr="003939A7">
        <w:t xml:space="preserve">support the international Mental Health Action Plan </w:t>
      </w:r>
      <w:r w:rsidR="00616C96" w:rsidRPr="003939A7">
        <w:t xml:space="preserve">which </w:t>
      </w:r>
      <w:r w:rsidR="00A27E46" w:rsidRPr="003939A7">
        <w:t xml:space="preserve"> aims to </w:t>
      </w:r>
      <w:r w:rsidR="008F2E04" w:rsidRPr="003939A7">
        <w:rPr>
          <w:rFonts w:cs="Arial"/>
        </w:rPr>
        <w:t>“promote mental well-being, prevent mental disorders, provide care, enhance recovery, promote human rights and reduce the mortality, morbidity and disability for persons with mental disorders” (WHO</w:t>
      </w:r>
      <w:r w:rsidR="009E7767" w:rsidRPr="003939A7">
        <w:rPr>
          <w:rFonts w:cs="Arial"/>
        </w:rPr>
        <w:t>,</w:t>
      </w:r>
      <w:r w:rsidR="008F2E04" w:rsidRPr="003939A7">
        <w:rPr>
          <w:rFonts w:cs="Arial"/>
        </w:rPr>
        <w:t xml:space="preserve"> 2013</w:t>
      </w:r>
      <w:r w:rsidR="009E7767" w:rsidRPr="003939A7">
        <w:rPr>
          <w:rFonts w:cs="Arial"/>
        </w:rPr>
        <w:t>, p</w:t>
      </w:r>
      <w:r w:rsidR="006550DC" w:rsidRPr="003939A7">
        <w:rPr>
          <w:rFonts w:cs="Arial"/>
        </w:rPr>
        <w:t xml:space="preserve">, </w:t>
      </w:r>
      <w:r w:rsidR="008F2E04" w:rsidRPr="003939A7">
        <w:rPr>
          <w:rFonts w:cs="Arial"/>
        </w:rPr>
        <w:t xml:space="preserve">9). </w:t>
      </w:r>
      <w:r w:rsidR="00A27E46" w:rsidRPr="003939A7">
        <w:rPr>
          <w:rFonts w:cs="Arial"/>
        </w:rPr>
        <w:t xml:space="preserve">Two key objectives in this plan centre on the need </w:t>
      </w:r>
      <w:r w:rsidR="008F2E04" w:rsidRPr="003939A7">
        <w:rPr>
          <w:rFonts w:cs="Arial"/>
        </w:rPr>
        <w:t>to strengthen focus on promoting mental health</w:t>
      </w:r>
      <w:r w:rsidR="008C6445" w:rsidRPr="003939A7">
        <w:rPr>
          <w:rFonts w:cs="Arial"/>
        </w:rPr>
        <w:t xml:space="preserve"> </w:t>
      </w:r>
      <w:r w:rsidR="008028B0" w:rsidRPr="003939A7">
        <w:rPr>
          <w:rFonts w:cs="Arial"/>
        </w:rPr>
        <w:t xml:space="preserve">and </w:t>
      </w:r>
      <w:r w:rsidR="008F2E04" w:rsidRPr="003939A7">
        <w:rPr>
          <w:rFonts w:cs="Arial"/>
        </w:rPr>
        <w:t xml:space="preserve">develop information and evidence </w:t>
      </w:r>
      <w:r w:rsidR="008028B0" w:rsidRPr="003939A7">
        <w:rPr>
          <w:rFonts w:cs="Arial"/>
        </w:rPr>
        <w:t>about</w:t>
      </w:r>
      <w:r w:rsidR="008F2E04" w:rsidRPr="003939A7">
        <w:rPr>
          <w:rFonts w:cs="Arial"/>
        </w:rPr>
        <w:t xml:space="preserve"> mental health (WHO</w:t>
      </w:r>
      <w:r w:rsidR="009E7767" w:rsidRPr="003939A7">
        <w:rPr>
          <w:rFonts w:cs="Arial"/>
        </w:rPr>
        <w:t>,</w:t>
      </w:r>
      <w:r w:rsidR="008F2E04" w:rsidRPr="003939A7">
        <w:rPr>
          <w:rFonts w:cs="Arial"/>
        </w:rPr>
        <w:t xml:space="preserve"> 2013).</w:t>
      </w:r>
      <w:r w:rsidR="008C6445" w:rsidRPr="003939A7">
        <w:rPr>
          <w:rFonts w:cs="Arial"/>
        </w:rPr>
        <w:t xml:space="preserve"> The world is rich in </w:t>
      </w:r>
      <w:r w:rsidR="008028B0" w:rsidRPr="003939A7">
        <w:rPr>
          <w:rFonts w:cs="Arial"/>
        </w:rPr>
        <w:t xml:space="preserve">cultural </w:t>
      </w:r>
      <w:r w:rsidR="008C6445" w:rsidRPr="003939A7">
        <w:rPr>
          <w:rFonts w:cs="Arial"/>
        </w:rPr>
        <w:t>heritage</w:t>
      </w:r>
      <w:r w:rsidR="008028B0" w:rsidRPr="003939A7">
        <w:rPr>
          <w:rFonts w:cs="Arial"/>
        </w:rPr>
        <w:t xml:space="preserve"> and archaeological sites so</w:t>
      </w:r>
      <w:r w:rsidR="008C6445" w:rsidRPr="003939A7">
        <w:rPr>
          <w:rFonts w:cs="Arial"/>
        </w:rPr>
        <w:t xml:space="preserve"> there are numerous possibilities of utilising historical landscapes to promote mental health. Mechanisms </w:t>
      </w:r>
      <w:r w:rsidR="008028B0" w:rsidRPr="003939A7">
        <w:rPr>
          <w:rFonts w:cs="Arial"/>
        </w:rPr>
        <w:t>through</w:t>
      </w:r>
      <w:r w:rsidR="008C6445" w:rsidRPr="003939A7">
        <w:rPr>
          <w:rFonts w:cs="Arial"/>
        </w:rPr>
        <w:t xml:space="preserve"> which these could be developed and promoted </w:t>
      </w:r>
      <w:r w:rsidR="008028B0" w:rsidRPr="003939A7">
        <w:rPr>
          <w:rFonts w:cs="Arial"/>
        </w:rPr>
        <w:t>include</w:t>
      </w:r>
      <w:r w:rsidR="008C6445" w:rsidRPr="003939A7">
        <w:rPr>
          <w:rFonts w:cs="Arial"/>
        </w:rPr>
        <w:t xml:space="preserve"> social prescribing.  </w:t>
      </w:r>
      <w:r w:rsidR="005A4E1F" w:rsidRPr="003939A7">
        <w:rPr>
          <w:rFonts w:cs="Arial"/>
        </w:rPr>
        <w:t xml:space="preserve">Social </w:t>
      </w:r>
      <w:r w:rsidR="008028B0" w:rsidRPr="003939A7">
        <w:rPr>
          <w:rFonts w:cs="Arial"/>
        </w:rPr>
        <w:t>p</w:t>
      </w:r>
      <w:r w:rsidR="005A4E1F" w:rsidRPr="003939A7">
        <w:rPr>
          <w:rFonts w:cs="Arial"/>
        </w:rPr>
        <w:t xml:space="preserve">rescribing is </w:t>
      </w:r>
      <w:r w:rsidR="008C6445" w:rsidRPr="003939A7">
        <w:rPr>
          <w:rFonts w:cs="Arial"/>
        </w:rPr>
        <w:t xml:space="preserve">described as </w:t>
      </w:r>
      <w:r w:rsidR="003C0988" w:rsidRPr="003939A7">
        <w:rPr>
          <w:rFonts w:cs="Arial"/>
        </w:rPr>
        <w:t xml:space="preserve">a process of linking patients in </w:t>
      </w:r>
      <w:r w:rsidR="005A4E1F" w:rsidRPr="003939A7">
        <w:rPr>
          <w:rFonts w:cs="Arial"/>
        </w:rPr>
        <w:t>p</w:t>
      </w:r>
      <w:r w:rsidR="003C0988" w:rsidRPr="003939A7">
        <w:rPr>
          <w:rFonts w:cs="Arial"/>
        </w:rPr>
        <w:t>r</w:t>
      </w:r>
      <w:r w:rsidR="005A4E1F" w:rsidRPr="003939A7">
        <w:rPr>
          <w:rFonts w:cs="Arial"/>
        </w:rPr>
        <w:t>i</w:t>
      </w:r>
      <w:r w:rsidR="003C0988" w:rsidRPr="003939A7">
        <w:rPr>
          <w:rFonts w:cs="Arial"/>
        </w:rPr>
        <w:t xml:space="preserve">mary care to support within their local community, offering </w:t>
      </w:r>
      <w:r w:rsidR="005A4E1F" w:rsidRPr="003939A7">
        <w:rPr>
          <w:rFonts w:cs="Arial"/>
        </w:rPr>
        <w:t>non-medical</w:t>
      </w:r>
      <w:r w:rsidR="003C0988" w:rsidRPr="003939A7">
        <w:rPr>
          <w:rFonts w:cs="Arial"/>
        </w:rPr>
        <w:t xml:space="preserve"> referral option</w:t>
      </w:r>
      <w:r w:rsidR="005A4E1F" w:rsidRPr="003939A7">
        <w:rPr>
          <w:rFonts w:cs="Arial"/>
        </w:rPr>
        <w:t>s</w:t>
      </w:r>
      <w:r w:rsidR="003C0988" w:rsidRPr="003939A7">
        <w:rPr>
          <w:rFonts w:cs="Arial"/>
        </w:rPr>
        <w:t xml:space="preserve"> that can work alongside </w:t>
      </w:r>
      <w:r w:rsidR="005A4E1F" w:rsidRPr="003939A7">
        <w:rPr>
          <w:rFonts w:cs="Arial"/>
        </w:rPr>
        <w:t>existing</w:t>
      </w:r>
      <w:r w:rsidR="003C0988" w:rsidRPr="003939A7">
        <w:rPr>
          <w:rFonts w:cs="Arial"/>
        </w:rPr>
        <w:t xml:space="preserve"> medical treatments to improve </w:t>
      </w:r>
      <w:r w:rsidR="005A4E1F" w:rsidRPr="003939A7">
        <w:rPr>
          <w:rFonts w:cs="Arial"/>
        </w:rPr>
        <w:t>health</w:t>
      </w:r>
      <w:r w:rsidR="003C0988" w:rsidRPr="003939A7">
        <w:rPr>
          <w:rFonts w:cs="Arial"/>
        </w:rPr>
        <w:t xml:space="preserve"> and well</w:t>
      </w:r>
      <w:r w:rsidR="00D06F8B" w:rsidRPr="003939A7">
        <w:rPr>
          <w:rFonts w:cs="Arial"/>
        </w:rPr>
        <w:t>-</w:t>
      </w:r>
      <w:r w:rsidR="003C0988" w:rsidRPr="003939A7">
        <w:rPr>
          <w:rFonts w:cs="Arial"/>
        </w:rPr>
        <w:t>being</w:t>
      </w:r>
      <w:r w:rsidR="005A4E1F" w:rsidRPr="003939A7">
        <w:t xml:space="preserve"> (</w:t>
      </w:r>
      <w:r w:rsidR="005A4E1F" w:rsidRPr="003939A7">
        <w:rPr>
          <w:rFonts w:cs="Arial"/>
        </w:rPr>
        <w:t>Bickerdike et al</w:t>
      </w:r>
      <w:r w:rsidR="007C005E" w:rsidRPr="003939A7">
        <w:rPr>
          <w:rFonts w:cs="Arial"/>
        </w:rPr>
        <w:t>.</w:t>
      </w:r>
      <w:r w:rsidR="009E7767" w:rsidRPr="003939A7">
        <w:rPr>
          <w:rFonts w:cs="Arial"/>
        </w:rPr>
        <w:t>,</w:t>
      </w:r>
      <w:r w:rsidR="005A4E1F" w:rsidRPr="003939A7">
        <w:rPr>
          <w:rFonts w:cs="Arial"/>
        </w:rPr>
        <w:t xml:space="preserve"> 2017)</w:t>
      </w:r>
      <w:r w:rsidR="003C0988" w:rsidRPr="003939A7">
        <w:rPr>
          <w:rFonts w:cs="Arial"/>
        </w:rPr>
        <w:t>.</w:t>
      </w:r>
      <w:r w:rsidR="00B43B70" w:rsidRPr="003939A7">
        <w:rPr>
          <w:rFonts w:cs="Arial"/>
        </w:rPr>
        <w:t xml:space="preserve"> </w:t>
      </w:r>
      <w:r w:rsidR="00616C96" w:rsidRPr="003939A7">
        <w:rPr>
          <w:rFonts w:cs="Arial"/>
        </w:rPr>
        <w:t xml:space="preserve">As identified, it aligns well to </w:t>
      </w:r>
      <w:r w:rsidR="00B43B70" w:rsidRPr="003939A7">
        <w:rPr>
          <w:rFonts w:cs="Arial"/>
        </w:rPr>
        <w:t>the recovery model of mental health as it focus</w:t>
      </w:r>
      <w:r w:rsidR="00616C96" w:rsidRPr="003939A7">
        <w:rPr>
          <w:rFonts w:cs="Arial"/>
        </w:rPr>
        <w:t>ses</w:t>
      </w:r>
      <w:r w:rsidR="00B43B70" w:rsidRPr="003939A7">
        <w:rPr>
          <w:rFonts w:cs="Arial"/>
        </w:rPr>
        <w:t xml:space="preserve"> on what is important for the individual (NHS England 2019). </w:t>
      </w:r>
      <w:r w:rsidR="00F16412" w:rsidRPr="003939A7">
        <w:rPr>
          <w:rFonts w:cs="Arial"/>
        </w:rPr>
        <w:t>In addition, t</w:t>
      </w:r>
      <w:r w:rsidR="00B43B70" w:rsidRPr="003939A7">
        <w:rPr>
          <w:rFonts w:cs="Arial"/>
        </w:rPr>
        <w:t>he growing evidence base regarding the use of lan</w:t>
      </w:r>
      <w:r w:rsidR="00F16412" w:rsidRPr="003939A7">
        <w:rPr>
          <w:rFonts w:cs="Arial"/>
        </w:rPr>
        <w:t>d</w:t>
      </w:r>
      <w:r w:rsidR="00B43B70" w:rsidRPr="003939A7">
        <w:rPr>
          <w:rFonts w:cs="Arial"/>
        </w:rPr>
        <w:t xml:space="preserve">scapes to promote health and wellbeing lends itself to social </w:t>
      </w:r>
      <w:r w:rsidR="00F16412" w:rsidRPr="003939A7">
        <w:rPr>
          <w:rFonts w:cs="Arial"/>
        </w:rPr>
        <w:t>prescribing</w:t>
      </w:r>
      <w:r w:rsidR="00B43B70" w:rsidRPr="003939A7">
        <w:rPr>
          <w:rFonts w:cs="Arial"/>
        </w:rPr>
        <w:t xml:space="preserve"> schemes (Todd et al, 2017), </w:t>
      </w:r>
      <w:r w:rsidR="00F16412" w:rsidRPr="003939A7">
        <w:rPr>
          <w:rFonts w:cs="Arial"/>
        </w:rPr>
        <w:t>especially</w:t>
      </w:r>
      <w:r w:rsidR="00B43B70" w:rsidRPr="003939A7">
        <w:rPr>
          <w:rFonts w:cs="Arial"/>
        </w:rPr>
        <w:t xml:space="preserve"> as </w:t>
      </w:r>
      <w:r w:rsidR="00F16412" w:rsidRPr="003939A7">
        <w:rPr>
          <w:rFonts w:cs="Arial"/>
        </w:rPr>
        <w:t xml:space="preserve">they are </w:t>
      </w:r>
      <w:r w:rsidR="00B43B70" w:rsidRPr="003939A7">
        <w:rPr>
          <w:rFonts w:cs="Arial"/>
        </w:rPr>
        <w:t>ideally located within community settings</w:t>
      </w:r>
      <w:r w:rsidR="00F16412" w:rsidRPr="003939A7">
        <w:rPr>
          <w:rFonts w:cs="Arial"/>
        </w:rPr>
        <w:t xml:space="preserve"> and promote community cohesion</w:t>
      </w:r>
      <w:r w:rsidR="00B43B70" w:rsidRPr="003939A7">
        <w:rPr>
          <w:rFonts w:cs="Arial"/>
        </w:rPr>
        <w:t xml:space="preserve">. </w:t>
      </w:r>
      <w:r w:rsidR="00F16412" w:rsidRPr="003939A7">
        <w:rPr>
          <w:rFonts w:cs="Arial"/>
        </w:rPr>
        <w:t xml:space="preserve">We argue that </w:t>
      </w:r>
      <w:r w:rsidR="00616C96" w:rsidRPr="003939A7">
        <w:rPr>
          <w:rFonts w:cs="Arial"/>
        </w:rPr>
        <w:t xml:space="preserve">heritage </w:t>
      </w:r>
      <w:r w:rsidR="00F16412" w:rsidRPr="003939A7">
        <w:rPr>
          <w:rFonts w:cs="Arial"/>
        </w:rPr>
        <w:t>i</w:t>
      </w:r>
      <w:r w:rsidRPr="003939A7">
        <w:rPr>
          <w:rFonts w:cs="Arial"/>
        </w:rPr>
        <w:t>ntervention</w:t>
      </w:r>
      <w:r w:rsidR="008C6445" w:rsidRPr="003939A7">
        <w:rPr>
          <w:rFonts w:cs="Arial"/>
        </w:rPr>
        <w:t xml:space="preserve">s such as Human Henge </w:t>
      </w:r>
      <w:r w:rsidR="00616C96" w:rsidRPr="003939A7">
        <w:rPr>
          <w:rFonts w:cs="Arial"/>
        </w:rPr>
        <w:t xml:space="preserve">also </w:t>
      </w:r>
      <w:r w:rsidR="008C6445" w:rsidRPr="003939A7">
        <w:rPr>
          <w:rFonts w:cs="Arial"/>
        </w:rPr>
        <w:t>fit well within the social prescribing model as they i</w:t>
      </w:r>
      <w:r w:rsidR="005A4E1F" w:rsidRPr="003939A7">
        <w:rPr>
          <w:rFonts w:cs="Arial"/>
        </w:rPr>
        <w:t xml:space="preserve">nclude </w:t>
      </w:r>
      <w:r w:rsidR="008C6445" w:rsidRPr="003939A7">
        <w:rPr>
          <w:rFonts w:cs="Arial"/>
        </w:rPr>
        <w:t>a</w:t>
      </w:r>
      <w:r w:rsidR="005A4E1F" w:rsidRPr="003939A7">
        <w:rPr>
          <w:rFonts w:cs="Arial"/>
        </w:rPr>
        <w:t xml:space="preserve"> holistic focus on individual</w:t>
      </w:r>
      <w:r w:rsidR="008028B0" w:rsidRPr="003939A7">
        <w:rPr>
          <w:rFonts w:cs="Arial"/>
        </w:rPr>
        <w:t>’</w:t>
      </w:r>
      <w:r w:rsidR="005A4E1F" w:rsidRPr="003939A7">
        <w:rPr>
          <w:rFonts w:cs="Arial"/>
        </w:rPr>
        <w:t>s health needs</w:t>
      </w:r>
      <w:r w:rsidR="008C6445" w:rsidRPr="003939A7">
        <w:rPr>
          <w:rFonts w:cs="Arial"/>
        </w:rPr>
        <w:t xml:space="preserve">, responding to </w:t>
      </w:r>
      <w:r w:rsidR="005A4E1F" w:rsidRPr="003939A7">
        <w:rPr>
          <w:rFonts w:cs="Arial"/>
        </w:rPr>
        <w:t xml:space="preserve">the range of factors that contribute to ill health including </w:t>
      </w:r>
      <w:r w:rsidR="00D275DE" w:rsidRPr="003939A7">
        <w:rPr>
          <w:rFonts w:cs="Arial"/>
        </w:rPr>
        <w:lastRenderedPageBreak/>
        <w:t>social, economic</w:t>
      </w:r>
      <w:r w:rsidR="008028B0" w:rsidRPr="003939A7">
        <w:rPr>
          <w:rFonts w:cs="Arial"/>
        </w:rPr>
        <w:t>,</w:t>
      </w:r>
      <w:r w:rsidR="00D275DE" w:rsidRPr="003939A7">
        <w:rPr>
          <w:rFonts w:cs="Arial"/>
        </w:rPr>
        <w:t xml:space="preserve"> and environmental factors</w:t>
      </w:r>
      <w:r w:rsidR="005A4E1F" w:rsidRPr="003939A7">
        <w:rPr>
          <w:rFonts w:cs="Arial"/>
        </w:rPr>
        <w:t>, as well as</w:t>
      </w:r>
      <w:r w:rsidR="00D275DE" w:rsidRPr="003939A7">
        <w:rPr>
          <w:rFonts w:cs="Arial"/>
        </w:rPr>
        <w:t xml:space="preserve"> support</w:t>
      </w:r>
      <w:r w:rsidR="005309EB" w:rsidRPr="003939A7">
        <w:rPr>
          <w:rFonts w:cs="Arial"/>
        </w:rPr>
        <w:t>ing</w:t>
      </w:r>
      <w:r w:rsidR="00D275DE" w:rsidRPr="003939A7">
        <w:rPr>
          <w:rFonts w:cs="Arial"/>
        </w:rPr>
        <w:t xml:space="preserve"> individuals to take greater control of their own health</w:t>
      </w:r>
      <w:r w:rsidR="005A4E1F" w:rsidRPr="003939A7">
        <w:rPr>
          <w:rFonts w:cs="Arial"/>
        </w:rPr>
        <w:t xml:space="preserve"> (Kings Fund</w:t>
      </w:r>
      <w:r w:rsidR="009E7767" w:rsidRPr="003939A7">
        <w:rPr>
          <w:rFonts w:cs="Arial"/>
        </w:rPr>
        <w:t>,</w:t>
      </w:r>
      <w:r w:rsidR="005A4E1F" w:rsidRPr="003939A7">
        <w:rPr>
          <w:rFonts w:cs="Arial"/>
        </w:rPr>
        <w:t xml:space="preserve"> 2017).</w:t>
      </w:r>
      <w:r w:rsidR="005A4E1F" w:rsidRPr="003939A7">
        <w:t xml:space="preserve"> </w:t>
      </w:r>
    </w:p>
    <w:p w14:paraId="2C79037C" w14:textId="77777777" w:rsidR="008C6445" w:rsidRPr="003939A7" w:rsidRDefault="008C6445" w:rsidP="00D62FF1">
      <w:pPr>
        <w:spacing w:after="0" w:line="360" w:lineRule="auto"/>
        <w:jc w:val="both"/>
      </w:pPr>
    </w:p>
    <w:p w14:paraId="39877F98" w14:textId="77777777" w:rsidR="008C6445" w:rsidRPr="003939A7" w:rsidRDefault="007D6BB4" w:rsidP="008C6445">
      <w:pPr>
        <w:spacing w:after="0" w:line="360" w:lineRule="auto"/>
        <w:jc w:val="both"/>
        <w:rPr>
          <w:rFonts w:cs="Arial"/>
          <w:b/>
        </w:rPr>
      </w:pPr>
      <w:r w:rsidRPr="003939A7">
        <w:rPr>
          <w:rFonts w:cs="Arial"/>
          <w:b/>
        </w:rPr>
        <w:t xml:space="preserve">Strengths and </w:t>
      </w:r>
      <w:r w:rsidR="008C6445" w:rsidRPr="003939A7">
        <w:rPr>
          <w:rFonts w:cs="Arial"/>
          <w:b/>
        </w:rPr>
        <w:t>Limitations</w:t>
      </w:r>
    </w:p>
    <w:p w14:paraId="3357844A" w14:textId="0EEF0FD8" w:rsidR="00574714" w:rsidRPr="003939A7" w:rsidRDefault="0049303C" w:rsidP="008C6445">
      <w:pPr>
        <w:spacing w:after="0" w:line="360" w:lineRule="auto"/>
        <w:jc w:val="both"/>
        <w:rPr>
          <w:rFonts w:cs="Arial"/>
        </w:rPr>
      </w:pPr>
      <w:r w:rsidRPr="003939A7">
        <w:rPr>
          <w:rFonts w:cs="Arial"/>
        </w:rPr>
        <w:t xml:space="preserve">A particular strength of the current study is </w:t>
      </w:r>
      <w:r w:rsidR="00863635" w:rsidRPr="003939A7">
        <w:rPr>
          <w:rFonts w:cs="Arial"/>
        </w:rPr>
        <w:t xml:space="preserve">that </w:t>
      </w:r>
      <w:r w:rsidRPr="003939A7">
        <w:rPr>
          <w:rFonts w:cs="Arial"/>
        </w:rPr>
        <w:t xml:space="preserve">it has used </w:t>
      </w:r>
      <w:r w:rsidR="005309EB" w:rsidRPr="003939A7">
        <w:rPr>
          <w:rFonts w:cs="Arial"/>
        </w:rPr>
        <w:t xml:space="preserve">heritage </w:t>
      </w:r>
      <w:r w:rsidR="00863635" w:rsidRPr="003939A7">
        <w:rPr>
          <w:rFonts w:cs="Arial"/>
        </w:rPr>
        <w:t>as a</w:t>
      </w:r>
      <w:r w:rsidR="0083714B" w:rsidRPr="003939A7">
        <w:rPr>
          <w:rFonts w:cs="Arial"/>
        </w:rPr>
        <w:t>n</w:t>
      </w:r>
      <w:r w:rsidR="00863635" w:rsidRPr="003939A7">
        <w:rPr>
          <w:rFonts w:cs="Arial"/>
        </w:rPr>
        <w:t xml:space="preserve"> environment</w:t>
      </w:r>
      <w:r w:rsidR="005309EB" w:rsidRPr="003939A7">
        <w:rPr>
          <w:rFonts w:cs="Arial"/>
        </w:rPr>
        <w:t>al</w:t>
      </w:r>
      <w:r w:rsidR="00863635" w:rsidRPr="003939A7">
        <w:rPr>
          <w:rFonts w:cs="Arial"/>
        </w:rPr>
        <w:t xml:space="preserve"> tool for enhancing mental health well-being in a group of people with mental health problems. </w:t>
      </w:r>
      <w:r w:rsidR="005B27CC" w:rsidRPr="003939A7">
        <w:rPr>
          <w:rFonts w:cs="Arial"/>
        </w:rPr>
        <w:t xml:space="preserve">Data was collected prospectively using </w:t>
      </w:r>
      <w:r w:rsidR="007E2E9F" w:rsidRPr="003939A7">
        <w:rPr>
          <w:rFonts w:cs="Arial"/>
        </w:rPr>
        <w:t xml:space="preserve">a </w:t>
      </w:r>
      <w:r w:rsidR="005B27CC" w:rsidRPr="003939A7">
        <w:rPr>
          <w:rFonts w:cs="Arial"/>
        </w:rPr>
        <w:t xml:space="preserve">validated robust measure </w:t>
      </w:r>
      <w:r w:rsidR="008028B0" w:rsidRPr="003939A7">
        <w:rPr>
          <w:rFonts w:cs="Arial"/>
        </w:rPr>
        <w:t>that</w:t>
      </w:r>
      <w:r w:rsidR="004124C4" w:rsidRPr="003939A7">
        <w:rPr>
          <w:rFonts w:cs="Arial"/>
        </w:rPr>
        <w:t xml:space="preserve"> minimi</w:t>
      </w:r>
      <w:r w:rsidR="00C84E46" w:rsidRPr="003939A7">
        <w:rPr>
          <w:rFonts w:cs="Arial"/>
        </w:rPr>
        <w:t>z</w:t>
      </w:r>
      <w:r w:rsidR="008028B0" w:rsidRPr="003939A7">
        <w:rPr>
          <w:rFonts w:cs="Arial"/>
        </w:rPr>
        <w:t>ed</w:t>
      </w:r>
      <w:r w:rsidR="005B27CC" w:rsidRPr="003939A7">
        <w:rPr>
          <w:rFonts w:cs="Arial"/>
        </w:rPr>
        <w:t xml:space="preserve"> the recall bias. </w:t>
      </w:r>
      <w:r w:rsidR="008028B0" w:rsidRPr="003939A7">
        <w:rPr>
          <w:rFonts w:cs="Arial"/>
        </w:rPr>
        <w:t>Using a</w:t>
      </w:r>
      <w:r w:rsidR="00CF4C85" w:rsidRPr="003939A7">
        <w:rPr>
          <w:rFonts w:cs="Arial"/>
        </w:rPr>
        <w:t xml:space="preserve"> mixed-method approach </w:t>
      </w:r>
      <w:r w:rsidR="00574714" w:rsidRPr="003939A7">
        <w:rPr>
          <w:rFonts w:cs="Arial"/>
        </w:rPr>
        <w:t>enable</w:t>
      </w:r>
      <w:r w:rsidR="003B4B5C" w:rsidRPr="003939A7">
        <w:rPr>
          <w:rFonts w:cs="Arial"/>
        </w:rPr>
        <w:t>d</w:t>
      </w:r>
      <w:r w:rsidR="00574714" w:rsidRPr="003939A7">
        <w:rPr>
          <w:rFonts w:cs="Arial"/>
        </w:rPr>
        <w:t xml:space="preserve"> us to further </w:t>
      </w:r>
      <w:r w:rsidR="007F5E45" w:rsidRPr="003939A7">
        <w:rPr>
          <w:rFonts w:cs="Arial"/>
        </w:rPr>
        <w:t>assess the efficacy of the int</w:t>
      </w:r>
      <w:r w:rsidR="00CF4C85" w:rsidRPr="003939A7">
        <w:rPr>
          <w:rFonts w:cs="Arial"/>
        </w:rPr>
        <w:t>e</w:t>
      </w:r>
      <w:r w:rsidR="007F5E45" w:rsidRPr="003939A7">
        <w:rPr>
          <w:rFonts w:cs="Arial"/>
        </w:rPr>
        <w:t>r</w:t>
      </w:r>
      <w:r w:rsidR="00CF4C85" w:rsidRPr="003939A7">
        <w:rPr>
          <w:rFonts w:cs="Arial"/>
        </w:rPr>
        <w:t xml:space="preserve">vention in </w:t>
      </w:r>
      <w:r w:rsidR="00574714" w:rsidRPr="003939A7">
        <w:rPr>
          <w:rFonts w:cs="Arial"/>
        </w:rPr>
        <w:t>a more in-</w:t>
      </w:r>
      <w:r w:rsidR="000E64B6" w:rsidRPr="003939A7">
        <w:rPr>
          <w:rFonts w:cs="Arial"/>
        </w:rPr>
        <w:t xml:space="preserve">depth </w:t>
      </w:r>
      <w:r w:rsidR="008028B0" w:rsidRPr="003939A7">
        <w:rPr>
          <w:rFonts w:cs="Arial"/>
        </w:rPr>
        <w:t>way</w:t>
      </w:r>
      <w:r w:rsidR="00416FF2" w:rsidRPr="003939A7">
        <w:rPr>
          <w:rFonts w:cs="Arial"/>
        </w:rPr>
        <w:t xml:space="preserve">. </w:t>
      </w:r>
      <w:r w:rsidR="002E632F" w:rsidRPr="003939A7">
        <w:rPr>
          <w:rFonts w:cs="Arial"/>
        </w:rPr>
        <w:t xml:space="preserve">The study </w:t>
      </w:r>
      <w:r w:rsidR="008028B0" w:rsidRPr="003939A7">
        <w:rPr>
          <w:rFonts w:cs="Arial"/>
        </w:rPr>
        <w:t>did have</w:t>
      </w:r>
      <w:r w:rsidR="002E632F" w:rsidRPr="003939A7">
        <w:rPr>
          <w:rFonts w:cs="Arial"/>
        </w:rPr>
        <w:t xml:space="preserve"> some limitations</w:t>
      </w:r>
      <w:r w:rsidR="008028B0" w:rsidRPr="003939A7">
        <w:rPr>
          <w:rFonts w:cs="Arial"/>
        </w:rPr>
        <w:t>, especially the relatively small</w:t>
      </w:r>
      <w:r w:rsidR="008C6445" w:rsidRPr="003939A7">
        <w:rPr>
          <w:rFonts w:cs="Arial"/>
        </w:rPr>
        <w:t xml:space="preserve"> sample (n=35)</w:t>
      </w:r>
      <w:r w:rsidR="008028B0" w:rsidRPr="003939A7">
        <w:rPr>
          <w:rFonts w:cs="Arial"/>
        </w:rPr>
        <w:t xml:space="preserve"> and the question of how representative it was. This inevitably limits</w:t>
      </w:r>
      <w:r w:rsidR="00D14577" w:rsidRPr="003939A7">
        <w:rPr>
          <w:rFonts w:cs="Arial"/>
        </w:rPr>
        <w:t xml:space="preserve"> its </w:t>
      </w:r>
      <w:r w:rsidR="00CA6840" w:rsidRPr="003939A7">
        <w:rPr>
          <w:rFonts w:cs="Arial"/>
        </w:rPr>
        <w:t>generalisability</w:t>
      </w:r>
      <w:r w:rsidR="00D14577" w:rsidRPr="003939A7">
        <w:rPr>
          <w:rFonts w:cs="Arial"/>
        </w:rPr>
        <w:t xml:space="preserve">. </w:t>
      </w:r>
      <w:r w:rsidR="00502E5C" w:rsidRPr="003939A7">
        <w:rPr>
          <w:rFonts w:cs="Arial"/>
        </w:rPr>
        <w:t xml:space="preserve">The </w:t>
      </w:r>
      <w:r w:rsidR="008C6445" w:rsidRPr="003939A7">
        <w:rPr>
          <w:rFonts w:cs="Arial"/>
        </w:rPr>
        <w:t>longitudinal nature</w:t>
      </w:r>
      <w:r w:rsidR="00502E5C" w:rsidRPr="003939A7">
        <w:rPr>
          <w:rFonts w:cs="Arial"/>
        </w:rPr>
        <w:t xml:space="preserve"> of the study meant there was</w:t>
      </w:r>
      <w:r w:rsidR="008C6445" w:rsidRPr="003939A7">
        <w:rPr>
          <w:rFonts w:cs="Arial"/>
        </w:rPr>
        <w:t xml:space="preserve"> </w:t>
      </w:r>
      <w:r w:rsidR="00482D73" w:rsidRPr="003939A7">
        <w:rPr>
          <w:rFonts w:cs="Arial"/>
        </w:rPr>
        <w:t>a hig</w:t>
      </w:r>
      <w:r w:rsidR="00122108" w:rsidRPr="003939A7">
        <w:rPr>
          <w:rFonts w:cs="Arial"/>
        </w:rPr>
        <w:t>h drop</w:t>
      </w:r>
      <w:r w:rsidR="005309EB" w:rsidRPr="003939A7">
        <w:rPr>
          <w:rFonts w:cs="Arial"/>
        </w:rPr>
        <w:t>-</w:t>
      </w:r>
      <w:r w:rsidR="00122108" w:rsidRPr="003939A7">
        <w:rPr>
          <w:rFonts w:cs="Arial"/>
        </w:rPr>
        <w:t>off rate</w:t>
      </w:r>
      <w:r w:rsidR="00502E5C" w:rsidRPr="003939A7">
        <w:rPr>
          <w:rFonts w:cs="Arial"/>
        </w:rPr>
        <w:t xml:space="preserve"> for</w:t>
      </w:r>
      <w:r w:rsidR="00482D73" w:rsidRPr="003939A7">
        <w:rPr>
          <w:rFonts w:cs="Arial"/>
        </w:rPr>
        <w:t xml:space="preserve"> the end </w:t>
      </w:r>
      <w:r w:rsidR="00502E5C" w:rsidRPr="003939A7">
        <w:rPr>
          <w:rFonts w:cs="Arial"/>
        </w:rPr>
        <w:t xml:space="preserve">of programme </w:t>
      </w:r>
      <w:r w:rsidR="00482D73" w:rsidRPr="003939A7">
        <w:rPr>
          <w:rFonts w:cs="Arial"/>
        </w:rPr>
        <w:t>and one-year</w:t>
      </w:r>
      <w:r w:rsidR="00F123CC" w:rsidRPr="003939A7">
        <w:rPr>
          <w:rFonts w:cs="Arial"/>
        </w:rPr>
        <w:t xml:space="preserve"> post</w:t>
      </w:r>
      <w:r w:rsidR="008C627A" w:rsidRPr="003939A7">
        <w:rPr>
          <w:rFonts w:cs="Arial"/>
        </w:rPr>
        <w:t xml:space="preserve"> </w:t>
      </w:r>
      <w:r w:rsidR="00780864" w:rsidRPr="003939A7">
        <w:rPr>
          <w:rFonts w:cs="Arial"/>
        </w:rPr>
        <w:t>intervention</w:t>
      </w:r>
      <w:r w:rsidR="008C627A" w:rsidRPr="003939A7">
        <w:rPr>
          <w:rFonts w:cs="Arial"/>
        </w:rPr>
        <w:t xml:space="preserve">. </w:t>
      </w:r>
      <w:r w:rsidR="008C6445" w:rsidRPr="003939A7">
        <w:rPr>
          <w:rFonts w:cs="Arial"/>
        </w:rPr>
        <w:t>At the baseline 33 participants completed the questionnaire, by mid-point and end of 10 week programme this had dropped to 30 participants</w:t>
      </w:r>
      <w:r w:rsidR="00502E5C" w:rsidRPr="003939A7">
        <w:rPr>
          <w:rFonts w:cs="Arial"/>
        </w:rPr>
        <w:t>,</w:t>
      </w:r>
      <w:r w:rsidR="008C6445" w:rsidRPr="003939A7">
        <w:rPr>
          <w:rFonts w:cs="Arial"/>
        </w:rPr>
        <w:t xml:space="preserve"> and by the one</w:t>
      </w:r>
      <w:r w:rsidR="00502E5C" w:rsidRPr="003939A7">
        <w:rPr>
          <w:rFonts w:cs="Arial"/>
        </w:rPr>
        <w:t>-</w:t>
      </w:r>
      <w:r w:rsidR="008C6445" w:rsidRPr="003939A7">
        <w:rPr>
          <w:rFonts w:cs="Arial"/>
        </w:rPr>
        <w:t xml:space="preserve">year post </w:t>
      </w:r>
      <w:r w:rsidR="00502E5C" w:rsidRPr="003939A7">
        <w:rPr>
          <w:rFonts w:cs="Arial"/>
        </w:rPr>
        <w:t>intervention</w:t>
      </w:r>
      <w:r w:rsidR="008C6445" w:rsidRPr="003939A7">
        <w:rPr>
          <w:rFonts w:cs="Arial"/>
        </w:rPr>
        <w:t xml:space="preserve"> only </w:t>
      </w:r>
      <w:r w:rsidR="00B94011" w:rsidRPr="003939A7">
        <w:rPr>
          <w:rFonts w:cs="Arial"/>
        </w:rPr>
        <w:t>17</w:t>
      </w:r>
      <w:r w:rsidR="008C6445" w:rsidRPr="003939A7">
        <w:rPr>
          <w:rFonts w:cs="Arial"/>
        </w:rPr>
        <w:t xml:space="preserve"> participants completed the questionnaire. Whilst </w:t>
      </w:r>
      <w:r w:rsidR="003D4FBA" w:rsidRPr="003939A7">
        <w:rPr>
          <w:rFonts w:cs="Arial"/>
        </w:rPr>
        <w:t>there</w:t>
      </w:r>
      <w:r w:rsidR="008C6445" w:rsidRPr="003939A7">
        <w:rPr>
          <w:rFonts w:cs="Arial"/>
        </w:rPr>
        <w:t xml:space="preserve"> were statistically significant </w:t>
      </w:r>
      <w:r w:rsidR="003D4FBA" w:rsidRPr="003939A7">
        <w:rPr>
          <w:rFonts w:cs="Arial"/>
        </w:rPr>
        <w:t>findings</w:t>
      </w:r>
      <w:r w:rsidR="00502E5C" w:rsidRPr="003939A7">
        <w:rPr>
          <w:rFonts w:cs="Arial"/>
        </w:rPr>
        <w:t>,</w:t>
      </w:r>
      <w:r w:rsidR="003D4FBA" w:rsidRPr="003939A7">
        <w:rPr>
          <w:rFonts w:cs="Arial"/>
        </w:rPr>
        <w:t xml:space="preserve"> </w:t>
      </w:r>
      <w:r w:rsidR="008C6445" w:rsidRPr="003939A7">
        <w:rPr>
          <w:rFonts w:cs="Arial"/>
        </w:rPr>
        <w:t xml:space="preserve">caution </w:t>
      </w:r>
      <w:r w:rsidR="00502E5C" w:rsidRPr="003939A7">
        <w:rPr>
          <w:rFonts w:cs="Arial"/>
        </w:rPr>
        <w:t xml:space="preserve">must be </w:t>
      </w:r>
      <w:r w:rsidR="00C84E46" w:rsidRPr="003939A7">
        <w:rPr>
          <w:rFonts w:cs="Arial"/>
        </w:rPr>
        <w:t>exercised</w:t>
      </w:r>
      <w:r w:rsidR="00502E5C" w:rsidRPr="003939A7">
        <w:rPr>
          <w:rFonts w:cs="Arial"/>
        </w:rPr>
        <w:t xml:space="preserve"> when explaining them.</w:t>
      </w:r>
      <w:r w:rsidR="008C6445" w:rsidRPr="003939A7">
        <w:rPr>
          <w:rFonts w:cs="Arial"/>
        </w:rPr>
        <w:t xml:space="preserve"> </w:t>
      </w:r>
      <w:r w:rsidR="001C2E2A" w:rsidRPr="003939A7">
        <w:rPr>
          <w:rFonts w:cs="Arial"/>
        </w:rPr>
        <w:t>Moreover,</w:t>
      </w:r>
      <w:r w:rsidR="00B9241C" w:rsidRPr="003939A7">
        <w:rPr>
          <w:rFonts w:cs="Arial"/>
        </w:rPr>
        <w:t xml:space="preserve"> this research </w:t>
      </w:r>
      <w:r w:rsidR="008C6445" w:rsidRPr="003939A7">
        <w:rPr>
          <w:rFonts w:cs="Arial"/>
        </w:rPr>
        <w:t>did not explore individual mental health diagnoses</w:t>
      </w:r>
      <w:r w:rsidR="00CC418F" w:rsidRPr="003939A7">
        <w:rPr>
          <w:rFonts w:cs="Arial"/>
        </w:rPr>
        <w:t xml:space="preserve"> and thus it is unknown whether </w:t>
      </w:r>
      <w:r w:rsidR="008C6445" w:rsidRPr="003939A7">
        <w:rPr>
          <w:rFonts w:cs="Arial"/>
        </w:rPr>
        <w:t xml:space="preserve">individuals with specific mental health issues may find this style of programme </w:t>
      </w:r>
      <w:r w:rsidR="00B9241C" w:rsidRPr="003939A7">
        <w:rPr>
          <w:rFonts w:cs="Arial"/>
        </w:rPr>
        <w:t>more beneficial</w:t>
      </w:r>
      <w:r w:rsidR="00A01CE1" w:rsidRPr="003939A7">
        <w:rPr>
          <w:rFonts w:cs="Arial"/>
        </w:rPr>
        <w:t>.</w:t>
      </w:r>
      <w:r w:rsidR="00901F8D" w:rsidRPr="003939A7">
        <w:rPr>
          <w:rFonts w:cs="Arial"/>
        </w:rPr>
        <w:t xml:space="preserve"> </w:t>
      </w:r>
      <w:r w:rsidR="00616C96" w:rsidRPr="003939A7">
        <w:rPr>
          <w:rFonts w:cs="Arial"/>
        </w:rPr>
        <w:t xml:space="preserve">Also </w:t>
      </w:r>
      <w:r w:rsidR="00901F8D" w:rsidRPr="003939A7">
        <w:rPr>
          <w:rFonts w:cs="Arial"/>
        </w:rPr>
        <w:t>because we did not explore additional therapy or support the participants rece</w:t>
      </w:r>
      <w:r w:rsidR="000A5BF0" w:rsidRPr="003939A7">
        <w:rPr>
          <w:rFonts w:cs="Arial"/>
        </w:rPr>
        <w:t>i</w:t>
      </w:r>
      <w:r w:rsidR="00901F8D" w:rsidRPr="003939A7">
        <w:rPr>
          <w:rFonts w:cs="Arial"/>
        </w:rPr>
        <w:t xml:space="preserve">ved we acknowledge that wider factors may also have </w:t>
      </w:r>
      <w:r w:rsidR="00C6656D" w:rsidRPr="003939A7">
        <w:rPr>
          <w:rFonts w:cs="Arial"/>
        </w:rPr>
        <w:t>influenced</w:t>
      </w:r>
      <w:r w:rsidR="00901F8D" w:rsidRPr="003939A7">
        <w:rPr>
          <w:rFonts w:cs="Arial"/>
        </w:rPr>
        <w:t xml:space="preserve"> the 1 year post intervention scores. </w:t>
      </w:r>
      <w:r w:rsidR="00616C96" w:rsidRPr="003939A7">
        <w:rPr>
          <w:rFonts w:cs="Arial"/>
        </w:rPr>
        <w:t xml:space="preserve"> Lastly, a potential critique of this study could be that heritage itself has little impact and that any group based activity could have produced similar results.  Whilst the participants expressed that the heritage aspect of the Neolithic landscape was important, ultimately a randomised controlled cluster trial is needed to explore whether</w:t>
      </w:r>
      <w:r w:rsidR="00C26EE9" w:rsidRPr="003939A7">
        <w:rPr>
          <w:rFonts w:cs="Arial"/>
        </w:rPr>
        <w:t xml:space="preserve"> heritage based </w:t>
      </w:r>
      <w:r w:rsidR="00616C96" w:rsidRPr="003939A7">
        <w:rPr>
          <w:rFonts w:cs="Arial"/>
        </w:rPr>
        <w:t xml:space="preserve">cultural therapy </w:t>
      </w:r>
      <w:r w:rsidR="00C26EE9" w:rsidRPr="003939A7">
        <w:rPr>
          <w:rFonts w:cs="Arial"/>
        </w:rPr>
        <w:t xml:space="preserve">programmes </w:t>
      </w:r>
      <w:r w:rsidR="00616C96" w:rsidRPr="003939A7">
        <w:rPr>
          <w:rFonts w:cs="Arial"/>
        </w:rPr>
        <w:t>ha</w:t>
      </w:r>
      <w:r w:rsidR="00C26EE9" w:rsidRPr="003939A7">
        <w:rPr>
          <w:rFonts w:cs="Arial"/>
        </w:rPr>
        <w:t>ve</w:t>
      </w:r>
      <w:r w:rsidR="00616C96" w:rsidRPr="003939A7">
        <w:rPr>
          <w:rFonts w:cs="Arial"/>
        </w:rPr>
        <w:t xml:space="preserve"> a greater </w:t>
      </w:r>
      <w:r w:rsidR="00C26EE9" w:rsidRPr="003939A7">
        <w:rPr>
          <w:rFonts w:cs="Arial"/>
        </w:rPr>
        <w:t xml:space="preserve">impact upon </w:t>
      </w:r>
      <w:r w:rsidR="00616C96" w:rsidRPr="003939A7">
        <w:rPr>
          <w:rFonts w:cs="Arial"/>
        </w:rPr>
        <w:t xml:space="preserve">well-being </w:t>
      </w:r>
      <w:r w:rsidR="00C26EE9" w:rsidRPr="003939A7">
        <w:rPr>
          <w:rFonts w:cs="Arial"/>
        </w:rPr>
        <w:t>then other group based activity</w:t>
      </w:r>
      <w:r w:rsidR="00616C96" w:rsidRPr="003939A7">
        <w:rPr>
          <w:rFonts w:cs="Arial"/>
        </w:rPr>
        <w:t xml:space="preserve">. </w:t>
      </w:r>
    </w:p>
    <w:p w14:paraId="5F6D8D84" w14:textId="77777777" w:rsidR="00616C96" w:rsidRPr="003939A7" w:rsidRDefault="00616C96" w:rsidP="008C6445">
      <w:pPr>
        <w:spacing w:after="0" w:line="360" w:lineRule="auto"/>
        <w:jc w:val="both"/>
        <w:rPr>
          <w:rFonts w:cs="Arial"/>
        </w:rPr>
      </w:pPr>
    </w:p>
    <w:p w14:paraId="3F7AE000" w14:textId="77777777" w:rsidR="00876312" w:rsidRPr="003939A7" w:rsidRDefault="008D66AA" w:rsidP="00876312">
      <w:pPr>
        <w:spacing w:after="0" w:line="360" w:lineRule="auto"/>
        <w:jc w:val="both"/>
        <w:rPr>
          <w:rFonts w:cs="Arial"/>
          <w:b/>
        </w:rPr>
      </w:pPr>
      <w:r w:rsidRPr="003939A7">
        <w:rPr>
          <w:rFonts w:cs="Arial"/>
          <w:b/>
        </w:rPr>
        <w:t>Conclusions</w:t>
      </w:r>
    </w:p>
    <w:p w14:paraId="67F04706" w14:textId="2A83DA16" w:rsidR="00523118" w:rsidRPr="003939A7" w:rsidRDefault="004610FD" w:rsidP="00523118">
      <w:pPr>
        <w:spacing w:after="0" w:line="360" w:lineRule="auto"/>
        <w:jc w:val="both"/>
        <w:rPr>
          <w:rFonts w:cs="Arial"/>
          <w:b/>
        </w:rPr>
      </w:pPr>
      <w:r w:rsidRPr="003939A7">
        <w:rPr>
          <w:rFonts w:cs="Arial"/>
        </w:rPr>
        <w:t xml:space="preserve">Research connected with the Human Henge programme </w:t>
      </w:r>
      <w:r w:rsidR="00523118" w:rsidRPr="003939A7">
        <w:rPr>
          <w:rFonts w:cs="Arial"/>
        </w:rPr>
        <w:t xml:space="preserve"> </w:t>
      </w:r>
      <w:r w:rsidR="00B9241C" w:rsidRPr="003939A7">
        <w:rPr>
          <w:rFonts w:cs="Arial"/>
        </w:rPr>
        <w:t xml:space="preserve">offers </w:t>
      </w:r>
      <w:r w:rsidR="005309EB" w:rsidRPr="003939A7">
        <w:rPr>
          <w:rFonts w:cs="Arial"/>
        </w:rPr>
        <w:t xml:space="preserve">an </w:t>
      </w:r>
      <w:r w:rsidR="00B9241C" w:rsidRPr="003939A7">
        <w:rPr>
          <w:rFonts w:cs="Arial"/>
        </w:rPr>
        <w:t>original</w:t>
      </w:r>
      <w:r w:rsidR="008E6DF7" w:rsidRPr="003939A7">
        <w:rPr>
          <w:rFonts w:cs="Arial"/>
        </w:rPr>
        <w:t xml:space="preserve"> contribution t</w:t>
      </w:r>
      <w:r w:rsidR="008032E6" w:rsidRPr="003939A7">
        <w:rPr>
          <w:rFonts w:cs="Arial"/>
        </w:rPr>
        <w:t>o the knowledge-based  us</w:t>
      </w:r>
      <w:r w:rsidRPr="003939A7">
        <w:rPr>
          <w:rFonts w:cs="Arial"/>
        </w:rPr>
        <w:t xml:space="preserve">e of </w:t>
      </w:r>
      <w:r w:rsidR="005309EB" w:rsidRPr="003939A7">
        <w:rPr>
          <w:rFonts w:cs="Arial"/>
        </w:rPr>
        <w:t xml:space="preserve"> ancient</w:t>
      </w:r>
      <w:r w:rsidRPr="003939A7">
        <w:rPr>
          <w:rFonts w:cs="Arial"/>
        </w:rPr>
        <w:t xml:space="preserve"> monuments and historic</w:t>
      </w:r>
      <w:r w:rsidR="00357B83" w:rsidRPr="003939A7">
        <w:rPr>
          <w:rFonts w:cs="Arial"/>
        </w:rPr>
        <w:t xml:space="preserve"> landscape</w:t>
      </w:r>
      <w:r w:rsidR="005309EB" w:rsidRPr="003939A7">
        <w:rPr>
          <w:rFonts w:cs="Arial"/>
        </w:rPr>
        <w:t>s</w:t>
      </w:r>
      <w:r w:rsidRPr="003939A7">
        <w:rPr>
          <w:rFonts w:cs="Arial"/>
        </w:rPr>
        <w:t>, Neolithic and Bronze Age sites in particular,</w:t>
      </w:r>
      <w:r w:rsidR="00357B83" w:rsidRPr="003939A7">
        <w:rPr>
          <w:rFonts w:cs="Arial"/>
        </w:rPr>
        <w:t xml:space="preserve"> </w:t>
      </w:r>
      <w:r w:rsidR="008E6DF7" w:rsidRPr="003939A7">
        <w:rPr>
          <w:rFonts w:cs="Arial"/>
        </w:rPr>
        <w:t>as tool</w:t>
      </w:r>
      <w:r w:rsidR="001A0840" w:rsidRPr="003939A7">
        <w:rPr>
          <w:rFonts w:cs="Arial"/>
        </w:rPr>
        <w:t>s</w:t>
      </w:r>
      <w:r w:rsidR="008E6DF7" w:rsidRPr="003939A7">
        <w:rPr>
          <w:rFonts w:cs="Arial"/>
        </w:rPr>
        <w:t xml:space="preserve"> </w:t>
      </w:r>
      <w:r w:rsidR="00C31A40" w:rsidRPr="003939A7">
        <w:rPr>
          <w:rFonts w:cs="Arial"/>
        </w:rPr>
        <w:t>for</w:t>
      </w:r>
      <w:r w:rsidR="008E6DF7" w:rsidRPr="003939A7">
        <w:rPr>
          <w:rFonts w:cs="Arial"/>
        </w:rPr>
        <w:t xml:space="preserve"> improving </w:t>
      </w:r>
      <w:r w:rsidR="00EE0A27" w:rsidRPr="003939A7">
        <w:rPr>
          <w:rFonts w:cs="Arial"/>
        </w:rPr>
        <w:t xml:space="preserve">mental health </w:t>
      </w:r>
      <w:r w:rsidR="008E6DF7" w:rsidRPr="003939A7">
        <w:rPr>
          <w:rFonts w:cs="Arial"/>
        </w:rPr>
        <w:t xml:space="preserve">well-being in people with mental health </w:t>
      </w:r>
      <w:r w:rsidR="00EE0A27" w:rsidRPr="003939A7">
        <w:rPr>
          <w:rFonts w:cs="Arial"/>
        </w:rPr>
        <w:t>issues</w:t>
      </w:r>
      <w:r w:rsidR="008E6DF7" w:rsidRPr="003939A7">
        <w:rPr>
          <w:rFonts w:cs="Arial"/>
        </w:rPr>
        <w:t xml:space="preserve">. </w:t>
      </w:r>
      <w:r w:rsidR="00B9241C" w:rsidRPr="003939A7">
        <w:t xml:space="preserve">From the research it is evident that </w:t>
      </w:r>
      <w:r w:rsidR="00B9241C" w:rsidRPr="003939A7">
        <w:rPr>
          <w:rFonts w:cs="Arial"/>
        </w:rPr>
        <w:t>utili</w:t>
      </w:r>
      <w:r w:rsidR="001A0840" w:rsidRPr="003939A7">
        <w:rPr>
          <w:rFonts w:cs="Arial"/>
        </w:rPr>
        <w:t>z</w:t>
      </w:r>
      <w:r w:rsidR="00B9241C" w:rsidRPr="003939A7">
        <w:rPr>
          <w:rFonts w:cs="Arial"/>
        </w:rPr>
        <w:t xml:space="preserve">ing archaeological landscapes </w:t>
      </w:r>
      <w:r w:rsidRPr="003939A7">
        <w:rPr>
          <w:rFonts w:cs="Arial"/>
        </w:rPr>
        <w:t xml:space="preserve">in this way </w:t>
      </w:r>
      <w:r w:rsidR="00B9241C" w:rsidRPr="003939A7">
        <w:rPr>
          <w:rFonts w:cs="Arial"/>
        </w:rPr>
        <w:t>can have therapeutic benefits on mental health</w:t>
      </w:r>
      <w:r w:rsidRPr="003939A7">
        <w:rPr>
          <w:rFonts w:cs="Arial"/>
        </w:rPr>
        <w:t>,</w:t>
      </w:r>
      <w:r w:rsidR="00B9241C" w:rsidRPr="003939A7">
        <w:rPr>
          <w:rFonts w:cs="Arial"/>
        </w:rPr>
        <w:t xml:space="preserve"> </w:t>
      </w:r>
      <w:r w:rsidR="005309EB" w:rsidRPr="003939A7">
        <w:rPr>
          <w:rFonts w:cs="Arial"/>
        </w:rPr>
        <w:t>and</w:t>
      </w:r>
      <w:r w:rsidR="00B9241C" w:rsidRPr="003939A7">
        <w:rPr>
          <w:rFonts w:cs="Arial"/>
        </w:rPr>
        <w:t xml:space="preserve"> that the significance of these benefits </w:t>
      </w:r>
      <w:r w:rsidR="005309EB" w:rsidRPr="003939A7">
        <w:rPr>
          <w:rFonts w:cs="Arial"/>
        </w:rPr>
        <w:t xml:space="preserve">is </w:t>
      </w:r>
      <w:r w:rsidR="00B82795" w:rsidRPr="003939A7">
        <w:rPr>
          <w:rFonts w:cs="Arial"/>
        </w:rPr>
        <w:t>maintain</w:t>
      </w:r>
      <w:r w:rsidR="005309EB" w:rsidRPr="003939A7">
        <w:rPr>
          <w:rFonts w:cs="Arial"/>
        </w:rPr>
        <w:t>ed</w:t>
      </w:r>
      <w:r w:rsidR="00B9241C" w:rsidRPr="003939A7">
        <w:rPr>
          <w:rFonts w:cs="Arial"/>
        </w:rPr>
        <w:t xml:space="preserve"> over time. </w:t>
      </w:r>
      <w:r w:rsidR="00523118" w:rsidRPr="003939A7">
        <w:rPr>
          <w:rFonts w:cs="Arial"/>
        </w:rPr>
        <w:t xml:space="preserve"> </w:t>
      </w:r>
      <w:r w:rsidR="00AB1BF1" w:rsidRPr="003939A7">
        <w:rPr>
          <w:rFonts w:cs="Arial"/>
        </w:rPr>
        <w:t xml:space="preserve">Further research is required </w:t>
      </w:r>
      <w:r w:rsidR="00B9241C" w:rsidRPr="003939A7">
        <w:rPr>
          <w:rFonts w:cs="Arial"/>
        </w:rPr>
        <w:t>in order to</w:t>
      </w:r>
      <w:r w:rsidRPr="003939A7">
        <w:rPr>
          <w:rFonts w:cs="Arial"/>
        </w:rPr>
        <w:t xml:space="preserve"> develop this work for wider application as a </w:t>
      </w:r>
      <w:r w:rsidR="00B9241C" w:rsidRPr="003939A7">
        <w:rPr>
          <w:rFonts w:cs="Arial"/>
        </w:rPr>
        <w:t>non-clinical approach</w:t>
      </w:r>
      <w:r w:rsidR="00E70CA2" w:rsidRPr="003939A7">
        <w:rPr>
          <w:rFonts w:cs="Arial"/>
        </w:rPr>
        <w:t xml:space="preserve"> </w:t>
      </w:r>
      <w:r w:rsidR="00B9241C" w:rsidRPr="003939A7">
        <w:rPr>
          <w:rFonts w:cs="Arial"/>
        </w:rPr>
        <w:t xml:space="preserve">to the promotion of mental health well-being. </w:t>
      </w:r>
      <w:r w:rsidR="009C5678" w:rsidRPr="003939A7">
        <w:rPr>
          <w:rFonts w:cs="Arial"/>
        </w:rPr>
        <w:t xml:space="preserve">Large controlled </w:t>
      </w:r>
      <w:r w:rsidR="009E4F80" w:rsidRPr="003939A7">
        <w:rPr>
          <w:rFonts w:cs="Arial"/>
        </w:rPr>
        <w:t>trials</w:t>
      </w:r>
      <w:r w:rsidR="00DB1453" w:rsidRPr="003939A7">
        <w:rPr>
          <w:rFonts w:cs="Arial"/>
        </w:rPr>
        <w:t>, quasi or randomi</w:t>
      </w:r>
      <w:r w:rsidR="00C84E46" w:rsidRPr="003939A7">
        <w:rPr>
          <w:rFonts w:cs="Arial"/>
        </w:rPr>
        <w:t>z</w:t>
      </w:r>
      <w:r w:rsidR="00DB1453" w:rsidRPr="003939A7">
        <w:rPr>
          <w:rFonts w:cs="Arial"/>
        </w:rPr>
        <w:t>ed</w:t>
      </w:r>
      <w:r w:rsidR="00201AE7" w:rsidRPr="003939A7">
        <w:rPr>
          <w:rFonts w:cs="Arial"/>
        </w:rPr>
        <w:t xml:space="preserve">, </w:t>
      </w:r>
      <w:r w:rsidR="00727280" w:rsidRPr="003939A7">
        <w:rPr>
          <w:rFonts w:cs="Arial"/>
        </w:rPr>
        <w:t xml:space="preserve">comparing </w:t>
      </w:r>
      <w:r w:rsidR="0056428C" w:rsidRPr="003939A7">
        <w:rPr>
          <w:rFonts w:cs="Arial"/>
        </w:rPr>
        <w:t>standard</w:t>
      </w:r>
      <w:r w:rsidR="00727280" w:rsidRPr="003939A7">
        <w:rPr>
          <w:rFonts w:cs="Arial"/>
        </w:rPr>
        <w:t xml:space="preserve"> medical care alongside </w:t>
      </w:r>
      <w:r w:rsidR="0056428C" w:rsidRPr="003939A7">
        <w:rPr>
          <w:rFonts w:cs="Arial"/>
        </w:rPr>
        <w:t>standard</w:t>
      </w:r>
      <w:r w:rsidR="00727280" w:rsidRPr="003939A7">
        <w:rPr>
          <w:rFonts w:cs="Arial"/>
        </w:rPr>
        <w:t xml:space="preserve"> medical care with </w:t>
      </w:r>
      <w:r w:rsidR="005309EB" w:rsidRPr="003939A7">
        <w:rPr>
          <w:rFonts w:cs="Arial"/>
        </w:rPr>
        <w:t>heritage</w:t>
      </w:r>
      <w:r w:rsidRPr="003939A7">
        <w:rPr>
          <w:rFonts w:cs="Arial"/>
        </w:rPr>
        <w:t xml:space="preserve"> </w:t>
      </w:r>
      <w:r w:rsidRPr="003939A7">
        <w:rPr>
          <w:rFonts w:cs="Arial"/>
        </w:rPr>
        <w:lastRenderedPageBreak/>
        <w:t xml:space="preserve">therapy using </w:t>
      </w:r>
      <w:r w:rsidR="00C84E46" w:rsidRPr="003939A7">
        <w:rPr>
          <w:rFonts w:cs="Arial"/>
        </w:rPr>
        <w:t>sites such</w:t>
      </w:r>
      <w:r w:rsidRPr="003939A7">
        <w:rPr>
          <w:rFonts w:cs="Arial"/>
        </w:rPr>
        <w:t xml:space="preserve"> as </w:t>
      </w:r>
      <w:r w:rsidR="0065472B" w:rsidRPr="003939A7">
        <w:rPr>
          <w:rFonts w:cs="Arial"/>
        </w:rPr>
        <w:t>Stonehenge</w:t>
      </w:r>
      <w:r w:rsidRPr="003939A7">
        <w:rPr>
          <w:rFonts w:cs="Arial"/>
        </w:rPr>
        <w:t>,</w:t>
      </w:r>
      <w:r w:rsidR="00BE3D42" w:rsidRPr="003939A7">
        <w:rPr>
          <w:rFonts w:cs="Arial"/>
        </w:rPr>
        <w:t xml:space="preserve"> Avebury</w:t>
      </w:r>
      <w:r w:rsidR="001A0840" w:rsidRPr="003939A7">
        <w:rPr>
          <w:rFonts w:cs="Arial"/>
        </w:rPr>
        <w:t>,</w:t>
      </w:r>
      <w:r w:rsidRPr="003939A7">
        <w:rPr>
          <w:rFonts w:cs="Arial"/>
        </w:rPr>
        <w:t xml:space="preserve"> and similar sites</w:t>
      </w:r>
      <w:r w:rsidR="005309EB" w:rsidRPr="003939A7">
        <w:rPr>
          <w:rFonts w:cs="Arial"/>
        </w:rPr>
        <w:t xml:space="preserve"> </w:t>
      </w:r>
      <w:r w:rsidR="00201AE7" w:rsidRPr="003939A7">
        <w:rPr>
          <w:rFonts w:cs="Arial"/>
        </w:rPr>
        <w:t xml:space="preserve">could provide </w:t>
      </w:r>
      <w:r w:rsidR="005F2DEF" w:rsidRPr="003939A7">
        <w:rPr>
          <w:rFonts w:cs="Arial"/>
        </w:rPr>
        <w:t xml:space="preserve">more </w:t>
      </w:r>
      <w:r w:rsidR="00201AE7" w:rsidRPr="003939A7">
        <w:rPr>
          <w:rFonts w:cs="Arial"/>
        </w:rPr>
        <w:t xml:space="preserve">evidence for the efficacy of </w:t>
      </w:r>
      <w:r w:rsidRPr="003939A7">
        <w:rPr>
          <w:rFonts w:cs="Arial"/>
        </w:rPr>
        <w:t xml:space="preserve">using </w:t>
      </w:r>
      <w:r w:rsidR="009310F6" w:rsidRPr="003939A7">
        <w:rPr>
          <w:rFonts w:cs="Arial"/>
        </w:rPr>
        <w:t>heritage</w:t>
      </w:r>
      <w:r w:rsidR="00201AE7" w:rsidRPr="003939A7">
        <w:rPr>
          <w:rFonts w:cs="Arial"/>
        </w:rPr>
        <w:t xml:space="preserve"> </w:t>
      </w:r>
      <w:r w:rsidR="000A443E" w:rsidRPr="003939A7">
        <w:rPr>
          <w:rFonts w:cs="Arial"/>
        </w:rPr>
        <w:t xml:space="preserve">places </w:t>
      </w:r>
      <w:r w:rsidRPr="003939A7">
        <w:rPr>
          <w:rFonts w:cs="Arial"/>
        </w:rPr>
        <w:t xml:space="preserve">and associated immersive activities </w:t>
      </w:r>
      <w:r w:rsidR="00201AE7" w:rsidRPr="003939A7">
        <w:rPr>
          <w:rFonts w:cs="Arial"/>
        </w:rPr>
        <w:t>as an intervention</w:t>
      </w:r>
      <w:r w:rsidR="00727280" w:rsidRPr="003939A7">
        <w:rPr>
          <w:rFonts w:cs="Arial"/>
        </w:rPr>
        <w:t>.</w:t>
      </w:r>
      <w:r w:rsidR="00AB1BF1" w:rsidRPr="003939A7">
        <w:rPr>
          <w:rFonts w:cs="Arial"/>
        </w:rPr>
        <w:t xml:space="preserve"> </w:t>
      </w:r>
      <w:r w:rsidR="00A01CE1" w:rsidRPr="003939A7">
        <w:rPr>
          <w:rFonts w:cs="Arial"/>
        </w:rPr>
        <w:t xml:space="preserve">The efficacy of this approach linked to </w:t>
      </w:r>
      <w:r w:rsidR="00CD3BBC" w:rsidRPr="003939A7">
        <w:rPr>
          <w:rFonts w:cs="Arial"/>
        </w:rPr>
        <w:t xml:space="preserve">specific mental health issues </w:t>
      </w:r>
      <w:r w:rsidRPr="003939A7">
        <w:rPr>
          <w:rFonts w:cs="Arial"/>
        </w:rPr>
        <w:t>could</w:t>
      </w:r>
      <w:r w:rsidR="00F7401D" w:rsidRPr="003939A7">
        <w:rPr>
          <w:rFonts w:cs="Arial"/>
        </w:rPr>
        <w:t xml:space="preserve"> also be considered in fu</w:t>
      </w:r>
      <w:r w:rsidR="00CD3BBC" w:rsidRPr="003939A7">
        <w:rPr>
          <w:rFonts w:cs="Arial"/>
        </w:rPr>
        <w:t xml:space="preserve">ture research. </w:t>
      </w:r>
    </w:p>
    <w:p w14:paraId="07E1A805" w14:textId="77777777" w:rsidR="003E6D93" w:rsidRPr="003939A7" w:rsidRDefault="003E6D93" w:rsidP="00876312">
      <w:pPr>
        <w:spacing w:after="0" w:line="360" w:lineRule="auto"/>
        <w:jc w:val="both"/>
        <w:rPr>
          <w:rFonts w:cs="Arial"/>
          <w:color w:val="FF0000"/>
        </w:rPr>
      </w:pPr>
    </w:p>
    <w:p w14:paraId="76F77E70" w14:textId="77777777" w:rsidR="00B00C2C" w:rsidRPr="003939A7" w:rsidRDefault="00B00C2C">
      <w:pPr>
        <w:rPr>
          <w:rFonts w:cs="Arial"/>
          <w:b/>
        </w:rPr>
      </w:pPr>
      <w:r w:rsidRPr="003939A7">
        <w:rPr>
          <w:rFonts w:cs="Arial"/>
          <w:b/>
        </w:rPr>
        <w:br w:type="page"/>
      </w:r>
    </w:p>
    <w:p w14:paraId="0FBA787D" w14:textId="77777777" w:rsidR="00CB7EE0" w:rsidRPr="003939A7" w:rsidRDefault="00CB7EE0" w:rsidP="00876312">
      <w:pPr>
        <w:spacing w:after="0" w:line="360" w:lineRule="auto"/>
        <w:jc w:val="both"/>
        <w:rPr>
          <w:rFonts w:cs="Arial"/>
          <w:b/>
        </w:rPr>
      </w:pPr>
      <w:r w:rsidRPr="003939A7">
        <w:rPr>
          <w:rFonts w:cs="Arial"/>
          <w:b/>
        </w:rPr>
        <w:lastRenderedPageBreak/>
        <w:t>References</w:t>
      </w:r>
    </w:p>
    <w:p w14:paraId="2FAF3932" w14:textId="5AC954C4" w:rsidR="003939A7" w:rsidRPr="003939A7" w:rsidRDefault="003939A7" w:rsidP="003939A7">
      <w:pPr>
        <w:autoSpaceDE w:val="0"/>
        <w:autoSpaceDN w:val="0"/>
        <w:adjustRightInd w:val="0"/>
        <w:spacing w:after="0" w:line="360" w:lineRule="auto"/>
        <w:ind w:left="720" w:hanging="720"/>
        <w:jc w:val="both"/>
        <w:rPr>
          <w:rFonts w:cs="Arial"/>
        </w:rPr>
      </w:pPr>
      <w:r w:rsidRPr="003939A7">
        <w:rPr>
          <w:rFonts w:cs="Arial"/>
        </w:rPr>
        <w:t>Anthony, W., 1993. Recovery f</w:t>
      </w:r>
      <w:r w:rsidRPr="003939A7">
        <w:rPr>
          <w:rFonts w:cs="Arial"/>
        </w:rPr>
        <w:t>rom Mental Illness: The Guiding Vision of the Mental Health Service</w:t>
      </w:r>
    </w:p>
    <w:p w14:paraId="7E2A13E5" w14:textId="7031FB51" w:rsidR="003939A7" w:rsidRPr="003939A7" w:rsidRDefault="003939A7" w:rsidP="003939A7">
      <w:pPr>
        <w:autoSpaceDE w:val="0"/>
        <w:autoSpaceDN w:val="0"/>
        <w:adjustRightInd w:val="0"/>
        <w:spacing w:after="0" w:line="360" w:lineRule="auto"/>
        <w:ind w:left="720" w:hanging="720"/>
        <w:jc w:val="both"/>
        <w:rPr>
          <w:rFonts w:cs="Arial"/>
        </w:rPr>
      </w:pPr>
      <w:r w:rsidRPr="003939A7">
        <w:rPr>
          <w:rFonts w:cs="Arial"/>
        </w:rPr>
        <w:t>System in the 1990s. Psychosoc Rehabil. J. 16 (4), 11–23.</w:t>
      </w:r>
    </w:p>
    <w:p w14:paraId="7FAD192A" w14:textId="447FF746" w:rsidR="00AB75A7" w:rsidRPr="003939A7" w:rsidRDefault="00AB75A7" w:rsidP="003939A7">
      <w:pPr>
        <w:autoSpaceDE w:val="0"/>
        <w:autoSpaceDN w:val="0"/>
        <w:adjustRightInd w:val="0"/>
        <w:spacing w:after="0" w:line="360" w:lineRule="auto"/>
        <w:ind w:left="720" w:hanging="720"/>
        <w:jc w:val="both"/>
        <w:rPr>
          <w:rFonts w:cs="FrutigerLTStd-Light"/>
        </w:rPr>
      </w:pPr>
      <w:r w:rsidRPr="003939A7">
        <w:rPr>
          <w:rFonts w:cs="Arial"/>
        </w:rPr>
        <w:t>Baker, C., 2018. Mental health statistics for England: prevalence,</w:t>
      </w:r>
      <w:r w:rsidR="00EF5C30" w:rsidRPr="003939A7">
        <w:rPr>
          <w:rFonts w:cs="Arial"/>
        </w:rPr>
        <w:t xml:space="preserve"> </w:t>
      </w:r>
      <w:r w:rsidRPr="003939A7">
        <w:rPr>
          <w:rFonts w:cs="Arial"/>
        </w:rPr>
        <w:t>services and funding</w:t>
      </w:r>
      <w:r w:rsidR="00EF5C30" w:rsidRPr="003939A7">
        <w:rPr>
          <w:rFonts w:cs="Arial"/>
        </w:rPr>
        <w:t xml:space="preserve">. House of Commons Briefing paper Number </w:t>
      </w:r>
      <w:r w:rsidR="00EF5C30" w:rsidRPr="003939A7">
        <w:rPr>
          <w:rFonts w:cs="FrutigerLTStd-Light"/>
        </w:rPr>
        <w:t>6988</w:t>
      </w:r>
      <w:r w:rsidR="00EC30A4" w:rsidRPr="003939A7">
        <w:rPr>
          <w:rFonts w:cs="FrutigerLTStd-Light"/>
        </w:rPr>
        <w:t>. London,</w:t>
      </w:r>
      <w:r w:rsidR="00EF5C30" w:rsidRPr="003939A7">
        <w:rPr>
          <w:rFonts w:cs="FrutigerLTStd-Light"/>
        </w:rPr>
        <w:t xml:space="preserve"> House of Commons Library</w:t>
      </w:r>
      <w:r w:rsidR="00197C8B" w:rsidRPr="003939A7">
        <w:rPr>
          <w:rFonts w:cs="FrutigerLTStd-Light"/>
        </w:rPr>
        <w:t>.</w:t>
      </w:r>
    </w:p>
    <w:p w14:paraId="4373E295" w14:textId="22A85BBF" w:rsidR="00E0674D" w:rsidRPr="003939A7" w:rsidRDefault="00E0674D" w:rsidP="003939A7">
      <w:pPr>
        <w:autoSpaceDE w:val="0"/>
        <w:autoSpaceDN w:val="0"/>
        <w:adjustRightInd w:val="0"/>
        <w:spacing w:after="0" w:line="360" w:lineRule="auto"/>
        <w:ind w:left="720" w:hanging="720"/>
        <w:jc w:val="both"/>
        <w:rPr>
          <w:rFonts w:cs="FrutigerLTStd-Light"/>
        </w:rPr>
      </w:pPr>
      <w:r w:rsidRPr="003939A7">
        <w:rPr>
          <w:rFonts w:cs="FrutigerLTStd-Light"/>
        </w:rPr>
        <w:t>Bell, S., Foley, R., Houghton, F., Maddrell, A., Williams, A., From therapeutic landscapes to healthy spaces, places and practices: A scoping review. Social Science and Medicine 196; 123-130</w:t>
      </w:r>
    </w:p>
    <w:p w14:paraId="2EAB6495" w14:textId="7B873351" w:rsidR="00800875" w:rsidRPr="003939A7" w:rsidRDefault="00800875" w:rsidP="003939A7">
      <w:pPr>
        <w:autoSpaceDE w:val="0"/>
        <w:autoSpaceDN w:val="0"/>
        <w:adjustRightInd w:val="0"/>
        <w:spacing w:after="0" w:line="360" w:lineRule="auto"/>
        <w:ind w:left="720" w:hanging="720"/>
        <w:jc w:val="both"/>
        <w:rPr>
          <w:rFonts w:cs="FrutigerLTStd-Light"/>
        </w:rPr>
      </w:pPr>
      <w:r w:rsidRPr="003939A7">
        <w:rPr>
          <w:rFonts w:cs="FrutigerLTStd-Light"/>
        </w:rPr>
        <w:t>Bhui, K., 2016. Discrimination, poor mental health, and mental illness. International Review of Psychiatry 28(4)</w:t>
      </w:r>
      <w:r w:rsidR="0049444A" w:rsidRPr="003939A7">
        <w:rPr>
          <w:rFonts w:cs="FrutigerLTStd-Light"/>
        </w:rPr>
        <w:t>,</w:t>
      </w:r>
      <w:r w:rsidRPr="003939A7">
        <w:rPr>
          <w:rFonts w:cs="FrutigerLTStd-Light"/>
        </w:rPr>
        <w:t xml:space="preserve"> 411–414</w:t>
      </w:r>
      <w:r w:rsidR="00197C8B" w:rsidRPr="003939A7">
        <w:rPr>
          <w:rFonts w:cs="FrutigerLTStd-Light"/>
        </w:rPr>
        <w:t>.</w:t>
      </w:r>
    </w:p>
    <w:p w14:paraId="003E7995" w14:textId="0CC89E7E" w:rsidR="005A4E1F" w:rsidRPr="003939A7" w:rsidRDefault="005A4E1F" w:rsidP="003939A7">
      <w:pPr>
        <w:autoSpaceDE w:val="0"/>
        <w:autoSpaceDN w:val="0"/>
        <w:adjustRightInd w:val="0"/>
        <w:spacing w:after="0" w:line="360" w:lineRule="auto"/>
        <w:ind w:left="720" w:hanging="720"/>
        <w:jc w:val="both"/>
        <w:rPr>
          <w:rFonts w:cs="FrutigerLTStd-Light"/>
        </w:rPr>
      </w:pPr>
      <w:r w:rsidRPr="003939A7">
        <w:rPr>
          <w:rFonts w:cs="FrutigerLTStd-Light"/>
        </w:rPr>
        <w:t xml:space="preserve">Bickerdike, L., Booth, A., Wilson, PM., Farley, K., Wright, K., </w:t>
      </w:r>
      <w:r w:rsidR="00D73CA6" w:rsidRPr="003939A7">
        <w:rPr>
          <w:rFonts w:cs="FrutigerLTStd-Light"/>
        </w:rPr>
        <w:t xml:space="preserve">2017. </w:t>
      </w:r>
      <w:r w:rsidRPr="003939A7">
        <w:rPr>
          <w:rFonts w:cs="FrutigerLTStd-Light"/>
        </w:rPr>
        <w:t>Social prescribing: less rhetoric and more reality. A systematic review of the evidence. BMJ Open;7:e013384. doi:10.1136/bmjopen-2016-013384</w:t>
      </w:r>
      <w:r w:rsidR="00197C8B" w:rsidRPr="003939A7">
        <w:rPr>
          <w:rFonts w:cs="FrutigerLTStd-Light"/>
        </w:rPr>
        <w:t>.</w:t>
      </w:r>
    </w:p>
    <w:p w14:paraId="77CAE73F" w14:textId="07750931" w:rsidR="00965728" w:rsidRPr="003939A7" w:rsidRDefault="00965728" w:rsidP="001F7AA0">
      <w:pPr>
        <w:autoSpaceDE w:val="0"/>
        <w:autoSpaceDN w:val="0"/>
        <w:adjustRightInd w:val="0"/>
        <w:spacing w:after="0" w:line="360" w:lineRule="auto"/>
        <w:ind w:left="720" w:hanging="720"/>
        <w:jc w:val="both"/>
        <w:rPr>
          <w:rFonts w:cs="FrutigerLTStd-Light"/>
        </w:rPr>
      </w:pPr>
      <w:r w:rsidRPr="003939A7">
        <w:rPr>
          <w:rFonts w:cs="FrutigerLTStd-Light"/>
        </w:rPr>
        <w:t>Bloomfield, D., 2017. What makes nature-based interventions for mental health successful?</w:t>
      </w:r>
      <w:r w:rsidRPr="003939A7">
        <w:t xml:space="preserve"> </w:t>
      </w:r>
      <w:r w:rsidRPr="003939A7">
        <w:rPr>
          <w:rFonts w:cs="FrutigerLTStd-Light"/>
        </w:rPr>
        <w:t>B</w:t>
      </w:r>
      <w:r w:rsidR="00CF0918" w:rsidRPr="003939A7">
        <w:rPr>
          <w:rFonts w:cs="FrutigerLTStd-Light"/>
        </w:rPr>
        <w:t xml:space="preserve">ritish </w:t>
      </w:r>
      <w:r w:rsidRPr="003939A7">
        <w:rPr>
          <w:rFonts w:cs="FrutigerLTStd-Light"/>
        </w:rPr>
        <w:t>J</w:t>
      </w:r>
      <w:r w:rsidR="00CF0918" w:rsidRPr="003939A7">
        <w:rPr>
          <w:rFonts w:cs="FrutigerLTStd-Light"/>
        </w:rPr>
        <w:t xml:space="preserve">ournal of </w:t>
      </w:r>
      <w:r w:rsidRPr="003939A7">
        <w:rPr>
          <w:rFonts w:cs="FrutigerLTStd-Light"/>
        </w:rPr>
        <w:t>Psych</w:t>
      </w:r>
      <w:r w:rsidR="00CF0918" w:rsidRPr="003939A7">
        <w:rPr>
          <w:rFonts w:cs="FrutigerLTStd-Light"/>
        </w:rPr>
        <w:t>iatry</w:t>
      </w:r>
      <w:r w:rsidRPr="003939A7">
        <w:rPr>
          <w:rFonts w:cs="FrutigerLTStd-Light"/>
        </w:rPr>
        <w:t xml:space="preserve"> International, 14(4)</w:t>
      </w:r>
      <w:r w:rsidR="0049444A" w:rsidRPr="003939A7">
        <w:rPr>
          <w:rFonts w:cs="FrutigerLTStd-Light"/>
        </w:rPr>
        <w:t>,</w:t>
      </w:r>
      <w:r w:rsidRPr="003939A7">
        <w:rPr>
          <w:rFonts w:cs="FrutigerLTStd-Light"/>
        </w:rPr>
        <w:t xml:space="preserve"> 82</w:t>
      </w:r>
      <w:r w:rsidR="0049444A" w:rsidRPr="003939A7">
        <w:rPr>
          <w:rFonts w:cs="FrutigerLTStd-Light"/>
        </w:rPr>
        <w:t>–</w:t>
      </w:r>
      <w:r w:rsidRPr="003939A7">
        <w:rPr>
          <w:rFonts w:cs="FrutigerLTStd-Light"/>
        </w:rPr>
        <w:t>85</w:t>
      </w:r>
      <w:r w:rsidR="00197C8B" w:rsidRPr="003939A7">
        <w:rPr>
          <w:rFonts w:cs="FrutigerLTStd-Light"/>
        </w:rPr>
        <w:t>.</w:t>
      </w:r>
    </w:p>
    <w:p w14:paraId="3E165CD7" w14:textId="2FEE3FDE" w:rsidR="001F7AA0" w:rsidRPr="003939A7" w:rsidRDefault="001F7AA0" w:rsidP="001F7AA0">
      <w:pPr>
        <w:autoSpaceDE w:val="0"/>
        <w:autoSpaceDN w:val="0"/>
        <w:adjustRightInd w:val="0"/>
        <w:spacing w:after="0" w:line="360" w:lineRule="auto"/>
        <w:ind w:left="720" w:hanging="720"/>
        <w:jc w:val="both"/>
        <w:rPr>
          <w:rFonts w:cs="Arial"/>
        </w:rPr>
      </w:pPr>
      <w:r w:rsidRPr="003939A7">
        <w:rPr>
          <w:rFonts w:cs="Arial"/>
        </w:rPr>
        <w:t>Braun, V.,</w:t>
      </w:r>
      <w:r w:rsidR="00197C8B" w:rsidRPr="003939A7">
        <w:rPr>
          <w:rFonts w:cs="Arial"/>
        </w:rPr>
        <w:t xml:space="preserve"> </w:t>
      </w:r>
      <w:r w:rsidRPr="003939A7">
        <w:rPr>
          <w:rFonts w:cs="Arial"/>
        </w:rPr>
        <w:t>Clarke, V., 2006. Using thematic analysis in psychology. Qualitative Research in Psychology, 3, 77–101</w:t>
      </w:r>
      <w:r w:rsidR="00197C8B" w:rsidRPr="003939A7">
        <w:rPr>
          <w:rFonts w:cs="Arial"/>
        </w:rPr>
        <w:t>.</w:t>
      </w:r>
    </w:p>
    <w:p w14:paraId="6C4FEC77" w14:textId="7AEEDBB4" w:rsidR="00E0674D" w:rsidRPr="003939A7" w:rsidRDefault="00E0674D" w:rsidP="001F7AA0">
      <w:pPr>
        <w:autoSpaceDE w:val="0"/>
        <w:autoSpaceDN w:val="0"/>
        <w:adjustRightInd w:val="0"/>
        <w:spacing w:after="0" w:line="360" w:lineRule="auto"/>
        <w:ind w:left="720" w:hanging="720"/>
        <w:jc w:val="both"/>
        <w:rPr>
          <w:rFonts w:cs="Arial"/>
        </w:rPr>
      </w:pPr>
      <w:r w:rsidRPr="003939A7">
        <w:rPr>
          <w:rFonts w:cs="Arial"/>
        </w:rPr>
        <w:t>Conradson, D., (2005). Landscape, care and the relational self: therapeutic encounters in rural England. Health and Place 11, 337-348.</w:t>
      </w:r>
    </w:p>
    <w:p w14:paraId="1073BFE2" w14:textId="191FF262" w:rsidR="001D5902" w:rsidRPr="003939A7" w:rsidRDefault="001D5902" w:rsidP="001D5902">
      <w:pPr>
        <w:autoSpaceDE w:val="0"/>
        <w:autoSpaceDN w:val="0"/>
        <w:adjustRightInd w:val="0"/>
        <w:spacing w:after="0" w:line="360" w:lineRule="auto"/>
        <w:ind w:left="720" w:hanging="720"/>
        <w:jc w:val="both"/>
        <w:rPr>
          <w:rFonts w:cs="Arial"/>
        </w:rPr>
      </w:pPr>
      <w:r w:rsidRPr="003939A7">
        <w:rPr>
          <w:rFonts w:cs="Arial"/>
        </w:rPr>
        <w:t>Collins, J., Avey, S.</w:t>
      </w:r>
      <w:r w:rsidR="00197C8B" w:rsidRPr="003939A7">
        <w:rPr>
          <w:rFonts w:cs="Arial"/>
        </w:rPr>
        <w:t>,</w:t>
      </w:r>
      <w:r w:rsidRPr="003939A7">
        <w:rPr>
          <w:rFonts w:cs="Arial"/>
        </w:rPr>
        <w:t xml:space="preserve"> Lekkas, P., 2016. Lost landscapes of healing: the decline of therapeutic mental health lan</w:t>
      </w:r>
      <w:r w:rsidR="009E7767" w:rsidRPr="003939A7">
        <w:rPr>
          <w:rFonts w:cs="Arial"/>
        </w:rPr>
        <w:t>dscapes. Landscape Research, 41</w:t>
      </w:r>
      <w:r w:rsidRPr="003939A7">
        <w:rPr>
          <w:rFonts w:cs="Arial"/>
        </w:rPr>
        <w:t>(4), 664–677</w:t>
      </w:r>
      <w:r w:rsidR="00EC30A4" w:rsidRPr="003939A7">
        <w:rPr>
          <w:rFonts w:cs="Arial"/>
        </w:rPr>
        <w:t>.</w:t>
      </w:r>
    </w:p>
    <w:p w14:paraId="4394F6FA" w14:textId="2D57E731" w:rsidR="001D5902" w:rsidRPr="003939A7" w:rsidRDefault="001D5902" w:rsidP="001D5902">
      <w:pPr>
        <w:autoSpaceDE w:val="0"/>
        <w:autoSpaceDN w:val="0"/>
        <w:adjustRightInd w:val="0"/>
        <w:spacing w:after="0" w:line="360" w:lineRule="auto"/>
        <w:ind w:left="720" w:hanging="720"/>
        <w:jc w:val="both"/>
        <w:rPr>
          <w:rFonts w:cs="Arial"/>
        </w:rPr>
      </w:pPr>
      <w:r w:rsidRPr="003939A7">
        <w:rPr>
          <w:rFonts w:cs="Arial"/>
        </w:rPr>
        <w:t>Cipriani</w:t>
      </w:r>
      <w:r w:rsidR="00EC30A4" w:rsidRPr="003939A7">
        <w:rPr>
          <w:rFonts w:cs="Arial"/>
        </w:rPr>
        <w:t>,</w:t>
      </w:r>
      <w:r w:rsidRPr="003939A7">
        <w:rPr>
          <w:rFonts w:cs="Arial"/>
        </w:rPr>
        <w:t xml:space="preserve"> J., Benz</w:t>
      </w:r>
      <w:r w:rsidR="00EC30A4" w:rsidRPr="003939A7">
        <w:rPr>
          <w:rFonts w:cs="Arial"/>
        </w:rPr>
        <w:t>,</w:t>
      </w:r>
      <w:r w:rsidRPr="003939A7">
        <w:rPr>
          <w:rFonts w:cs="Arial"/>
        </w:rPr>
        <w:t xml:space="preserve"> A., Holmgren</w:t>
      </w:r>
      <w:r w:rsidR="00EC30A4" w:rsidRPr="003939A7">
        <w:rPr>
          <w:rFonts w:cs="Arial"/>
        </w:rPr>
        <w:t>,</w:t>
      </w:r>
      <w:r w:rsidRPr="003939A7">
        <w:rPr>
          <w:rFonts w:cs="Arial"/>
        </w:rPr>
        <w:t xml:space="preserve"> A., </w:t>
      </w:r>
      <w:r w:rsidR="00677EA8" w:rsidRPr="003939A7">
        <w:rPr>
          <w:rFonts w:cs="Arial"/>
        </w:rPr>
        <w:t>Kinter</w:t>
      </w:r>
      <w:r w:rsidR="00EC30A4" w:rsidRPr="003939A7">
        <w:rPr>
          <w:rFonts w:cs="Arial"/>
        </w:rPr>
        <w:t>,</w:t>
      </w:r>
      <w:r w:rsidR="00677EA8" w:rsidRPr="003939A7">
        <w:rPr>
          <w:rFonts w:cs="Arial"/>
        </w:rPr>
        <w:t xml:space="preserve"> D., McGarry</w:t>
      </w:r>
      <w:r w:rsidR="00EC30A4" w:rsidRPr="003939A7">
        <w:rPr>
          <w:rFonts w:cs="Arial"/>
        </w:rPr>
        <w:t>,</w:t>
      </w:r>
      <w:r w:rsidR="00677EA8" w:rsidRPr="003939A7">
        <w:rPr>
          <w:rFonts w:cs="Arial"/>
        </w:rPr>
        <w:t xml:space="preserve"> J., Rufino</w:t>
      </w:r>
      <w:r w:rsidR="00EC30A4" w:rsidRPr="003939A7">
        <w:rPr>
          <w:rFonts w:cs="Arial"/>
        </w:rPr>
        <w:t>,</w:t>
      </w:r>
      <w:r w:rsidR="00677EA8" w:rsidRPr="003939A7">
        <w:rPr>
          <w:rFonts w:cs="Arial"/>
        </w:rPr>
        <w:t xml:space="preserve"> G., 2017. </w:t>
      </w:r>
      <w:r w:rsidR="00BA0289" w:rsidRPr="003939A7">
        <w:rPr>
          <w:rFonts w:cs="Arial"/>
        </w:rPr>
        <w:t xml:space="preserve">A systemic review of the effects of horticultural therapy on persons with mental health conditions. </w:t>
      </w:r>
      <w:r w:rsidR="00384983" w:rsidRPr="003939A7">
        <w:rPr>
          <w:rFonts w:cs="Arial"/>
        </w:rPr>
        <w:t xml:space="preserve">Occupational Therapy in Mental Health, 33(1), </w:t>
      </w:r>
      <w:r w:rsidR="00F53952" w:rsidRPr="003939A7">
        <w:rPr>
          <w:rFonts w:cs="Arial"/>
        </w:rPr>
        <w:t>47</w:t>
      </w:r>
      <w:r w:rsidR="0049444A" w:rsidRPr="003939A7">
        <w:rPr>
          <w:rFonts w:cs="Arial"/>
        </w:rPr>
        <w:t>–</w:t>
      </w:r>
      <w:r w:rsidR="00E7745D" w:rsidRPr="003939A7">
        <w:rPr>
          <w:rFonts w:cs="Arial"/>
        </w:rPr>
        <w:t>69</w:t>
      </w:r>
      <w:r w:rsidR="00EC30A4" w:rsidRPr="003939A7">
        <w:rPr>
          <w:rFonts w:cs="Arial"/>
        </w:rPr>
        <w:t>.</w:t>
      </w:r>
    </w:p>
    <w:p w14:paraId="54F68575" w14:textId="77777777" w:rsidR="00236E2F" w:rsidRPr="003939A7" w:rsidRDefault="00236E2F" w:rsidP="001F7AA0">
      <w:pPr>
        <w:autoSpaceDE w:val="0"/>
        <w:autoSpaceDN w:val="0"/>
        <w:adjustRightInd w:val="0"/>
        <w:spacing w:after="0" w:line="360" w:lineRule="auto"/>
        <w:ind w:left="720" w:hanging="720"/>
        <w:jc w:val="both"/>
        <w:rPr>
          <w:rFonts w:cs="Arial"/>
        </w:rPr>
      </w:pPr>
      <w:r w:rsidRPr="003939A7">
        <w:rPr>
          <w:rFonts w:cs="Arial"/>
        </w:rPr>
        <w:t xml:space="preserve">Darvill, T., Barrass, K., Drysdale, L., Heaslip, V., Staelens, Y. (eds), 2019. Historic landscapes and mental well-being. Oxford: Archaeopress, Available on open-access at:   http://www.archaeopress.com/ArchaeopressShop/Public/download.asp?id={851FBF09-5ABA-4677-9A3E-E411F7D11DFE} </w:t>
      </w:r>
    </w:p>
    <w:p w14:paraId="2F68F802" w14:textId="33A0F582" w:rsidR="00F270A7" w:rsidRPr="003939A7" w:rsidRDefault="009C1C66" w:rsidP="00F270A7">
      <w:pPr>
        <w:autoSpaceDE w:val="0"/>
        <w:autoSpaceDN w:val="0"/>
        <w:adjustRightInd w:val="0"/>
        <w:spacing w:after="0" w:line="360" w:lineRule="auto"/>
        <w:ind w:left="720" w:hanging="720"/>
        <w:rPr>
          <w:rFonts w:cs="Arial"/>
        </w:rPr>
      </w:pPr>
      <w:r w:rsidRPr="003939A7">
        <w:rPr>
          <w:rFonts w:cs="Arial"/>
        </w:rPr>
        <w:t>Darvill, T.</w:t>
      </w:r>
      <w:r w:rsidR="00EC30A4" w:rsidRPr="003939A7">
        <w:rPr>
          <w:rFonts w:cs="Arial"/>
        </w:rPr>
        <w:t>,</w:t>
      </w:r>
      <w:r w:rsidRPr="003939A7">
        <w:rPr>
          <w:rFonts w:cs="Arial"/>
        </w:rPr>
        <w:t xml:space="preserve"> Heaslip, V.</w:t>
      </w:r>
      <w:r w:rsidR="00197C8B" w:rsidRPr="003939A7">
        <w:rPr>
          <w:rFonts w:cs="Arial"/>
        </w:rPr>
        <w:t xml:space="preserve">, </w:t>
      </w:r>
      <w:r w:rsidRPr="003939A7">
        <w:rPr>
          <w:rFonts w:cs="Arial"/>
        </w:rPr>
        <w:t>Barrass, K., 2018. Heritage and well-being: Therapeutic places past and present. In</w:t>
      </w:r>
      <w:r w:rsidR="00197C8B" w:rsidRPr="003939A7">
        <w:rPr>
          <w:rFonts w:cs="Arial"/>
        </w:rPr>
        <w:t>:</w:t>
      </w:r>
      <w:r w:rsidRPr="003939A7">
        <w:rPr>
          <w:rFonts w:cs="Arial"/>
        </w:rPr>
        <w:t xml:space="preserve"> Galvin, K. (</w:t>
      </w:r>
      <w:r w:rsidR="00197C8B" w:rsidRPr="003939A7">
        <w:rPr>
          <w:rFonts w:cs="Arial"/>
        </w:rPr>
        <w:t>E</w:t>
      </w:r>
      <w:r w:rsidRPr="003939A7">
        <w:rPr>
          <w:rFonts w:cs="Arial"/>
        </w:rPr>
        <w:t>d</w:t>
      </w:r>
      <w:r w:rsidR="009E7767" w:rsidRPr="003939A7">
        <w:rPr>
          <w:rFonts w:cs="Arial"/>
        </w:rPr>
        <w:t>.</w:t>
      </w:r>
      <w:r w:rsidRPr="003939A7">
        <w:rPr>
          <w:rFonts w:cs="Arial"/>
        </w:rPr>
        <w:t>), A handbook of well-being. Abingdon</w:t>
      </w:r>
      <w:r w:rsidR="00EC30A4" w:rsidRPr="003939A7">
        <w:rPr>
          <w:rFonts w:cs="Arial"/>
        </w:rPr>
        <w:t>,</w:t>
      </w:r>
      <w:r w:rsidRPr="003939A7">
        <w:rPr>
          <w:rFonts w:cs="Arial"/>
        </w:rPr>
        <w:t xml:space="preserve"> Routledge</w:t>
      </w:r>
      <w:r w:rsidR="00EC30A4" w:rsidRPr="003939A7">
        <w:rPr>
          <w:rFonts w:cs="Arial"/>
        </w:rPr>
        <w:t>, p</w:t>
      </w:r>
      <w:r w:rsidR="00197C8B" w:rsidRPr="003939A7">
        <w:rPr>
          <w:rFonts w:cs="Arial"/>
        </w:rPr>
        <w:t>p.</w:t>
      </w:r>
      <w:r w:rsidR="00E7745D" w:rsidRPr="003939A7">
        <w:rPr>
          <w:rFonts w:cs="Arial"/>
        </w:rPr>
        <w:t xml:space="preserve"> 112–123</w:t>
      </w:r>
      <w:r w:rsidR="00EC30A4" w:rsidRPr="003939A7">
        <w:rPr>
          <w:rFonts w:cs="Arial"/>
        </w:rPr>
        <w:t>.</w:t>
      </w:r>
      <w:r w:rsidRPr="003939A7">
        <w:rPr>
          <w:rFonts w:cs="Arial"/>
        </w:rPr>
        <w:t xml:space="preserve"> </w:t>
      </w:r>
      <w:r w:rsidR="00F270A7" w:rsidRPr="003939A7">
        <w:rPr>
          <w:rFonts w:cs="Arial"/>
        </w:rPr>
        <w:t>Department for Culture, Media and Sport, 2018. Taking Part Survey: England Adult Report, 2017/18. Available from: https://assets.publishing.service.gov.uk/government/uploads/system/uploads/attachment_data/file/740242/180911_Taking_Part_Adult_Annual_Report_-_Revised.pdf [accessed 26.9.2019]</w:t>
      </w:r>
    </w:p>
    <w:p w14:paraId="76AFA8FA" w14:textId="77777777" w:rsidR="0003499B" w:rsidRPr="003939A7" w:rsidRDefault="009E5D3E" w:rsidP="00EC30A4">
      <w:pPr>
        <w:autoSpaceDE w:val="0"/>
        <w:autoSpaceDN w:val="0"/>
        <w:adjustRightInd w:val="0"/>
        <w:spacing w:after="0" w:line="360" w:lineRule="auto"/>
        <w:ind w:left="720" w:hanging="720"/>
        <w:rPr>
          <w:rFonts w:cs="Arial"/>
        </w:rPr>
      </w:pPr>
      <w:r w:rsidRPr="003939A7">
        <w:rPr>
          <w:rFonts w:cs="Arial"/>
        </w:rPr>
        <w:lastRenderedPageBreak/>
        <w:t xml:space="preserve">Department for Culture, Media and Sport, 2016. The culture white paper. London: Department for Culture, Media and Sport.  Available from: </w:t>
      </w:r>
      <w:hyperlink r:id="rId23" w:history="1">
        <w:r w:rsidRPr="003939A7">
          <w:rPr>
            <w:rStyle w:val="Hyperlink"/>
            <w:rFonts w:cs="Arial"/>
          </w:rPr>
          <w:t>https://assets.publishing.service.gov.uk/government/uploads/system/uploads/attachment_data/file/416279/A_review_of_the_Social_Impacts_of_Culture_and_Sport.pdf</w:t>
        </w:r>
      </w:hyperlink>
      <w:r w:rsidRPr="003939A7">
        <w:rPr>
          <w:rFonts w:cs="Arial"/>
        </w:rPr>
        <w:t xml:space="preserve"> [accessed 1.10.18]</w:t>
      </w:r>
    </w:p>
    <w:p w14:paraId="00045E36" w14:textId="6DC5BF54" w:rsidR="008D779E" w:rsidRPr="003939A7" w:rsidRDefault="008D779E" w:rsidP="00EC30A4">
      <w:pPr>
        <w:autoSpaceDE w:val="0"/>
        <w:autoSpaceDN w:val="0"/>
        <w:adjustRightInd w:val="0"/>
        <w:spacing w:after="0" w:line="360" w:lineRule="auto"/>
        <w:ind w:left="720" w:hanging="720"/>
        <w:rPr>
          <w:rFonts w:cs="Arial"/>
        </w:rPr>
      </w:pPr>
      <w:r w:rsidRPr="003939A7">
        <w:rPr>
          <w:rFonts w:cs="Arial"/>
        </w:rPr>
        <w:t>Duff, C., 2012. Exploring the role of ‘enabling places’ in promoting recovery from mental illness: A qualitative test of a relational model. Health and Place 18; 1388-1395</w:t>
      </w:r>
    </w:p>
    <w:p w14:paraId="4BF27355" w14:textId="6439F581" w:rsidR="00991EB7" w:rsidRPr="003939A7" w:rsidRDefault="00991EB7" w:rsidP="001F7AA0">
      <w:pPr>
        <w:autoSpaceDE w:val="0"/>
        <w:autoSpaceDN w:val="0"/>
        <w:adjustRightInd w:val="0"/>
        <w:spacing w:after="0" w:line="360" w:lineRule="auto"/>
        <w:ind w:left="720" w:hanging="720"/>
        <w:jc w:val="both"/>
        <w:rPr>
          <w:rFonts w:cs="Arial"/>
        </w:rPr>
      </w:pPr>
      <w:r w:rsidRPr="003939A7">
        <w:rPr>
          <w:rFonts w:cs="Arial"/>
        </w:rPr>
        <w:t>Fat</w:t>
      </w:r>
      <w:r w:rsidR="00EC30A4" w:rsidRPr="003939A7">
        <w:rPr>
          <w:rFonts w:cs="Arial"/>
        </w:rPr>
        <w:t>,</w:t>
      </w:r>
      <w:r w:rsidRPr="003939A7">
        <w:rPr>
          <w:rFonts w:cs="Arial"/>
        </w:rPr>
        <w:t xml:space="preserve"> L., Scholes</w:t>
      </w:r>
      <w:r w:rsidR="00EC30A4" w:rsidRPr="003939A7">
        <w:rPr>
          <w:rFonts w:cs="Arial"/>
        </w:rPr>
        <w:t>,</w:t>
      </w:r>
      <w:r w:rsidRPr="003939A7">
        <w:rPr>
          <w:rFonts w:cs="Arial"/>
        </w:rPr>
        <w:t xml:space="preserve"> Sh., Boniface</w:t>
      </w:r>
      <w:r w:rsidR="00EC30A4" w:rsidRPr="003939A7">
        <w:rPr>
          <w:rFonts w:cs="Arial"/>
        </w:rPr>
        <w:t>,</w:t>
      </w:r>
      <w:r w:rsidRPr="003939A7">
        <w:rPr>
          <w:rFonts w:cs="Arial"/>
        </w:rPr>
        <w:t xml:space="preserve"> S., Mindell</w:t>
      </w:r>
      <w:r w:rsidR="00EC30A4" w:rsidRPr="003939A7">
        <w:rPr>
          <w:rFonts w:cs="Arial"/>
        </w:rPr>
        <w:t>,</w:t>
      </w:r>
      <w:r w:rsidRPr="003939A7">
        <w:rPr>
          <w:rFonts w:cs="Arial"/>
        </w:rPr>
        <w:t xml:space="preserve"> J., Stewart-Brown</w:t>
      </w:r>
      <w:r w:rsidR="00EC30A4" w:rsidRPr="003939A7">
        <w:rPr>
          <w:rFonts w:cs="Arial"/>
        </w:rPr>
        <w:t>,</w:t>
      </w:r>
      <w:r w:rsidRPr="003939A7">
        <w:rPr>
          <w:rFonts w:cs="Arial"/>
        </w:rPr>
        <w:t xml:space="preserve"> S., 201</w:t>
      </w:r>
      <w:r w:rsidR="00100F23" w:rsidRPr="003939A7">
        <w:rPr>
          <w:rFonts w:cs="Arial"/>
        </w:rPr>
        <w:t>7</w:t>
      </w:r>
      <w:r w:rsidRPr="003939A7">
        <w:rPr>
          <w:rFonts w:cs="Arial"/>
        </w:rPr>
        <w:t xml:space="preserve">. </w:t>
      </w:r>
      <w:r w:rsidR="00100F23" w:rsidRPr="003939A7">
        <w:rPr>
          <w:rFonts w:cs="Arial"/>
        </w:rPr>
        <w:t>Evaluating and establishing national norms for mental well-being using the short Warwick-Edinburgh Mental Well-being Scale (SWEMWBS): findi</w:t>
      </w:r>
      <w:r w:rsidR="005B5DC3" w:rsidRPr="003939A7">
        <w:rPr>
          <w:rFonts w:cs="Arial"/>
        </w:rPr>
        <w:t>ngs from the Health Surve</w:t>
      </w:r>
      <w:r w:rsidR="00100F23" w:rsidRPr="003939A7">
        <w:rPr>
          <w:rFonts w:cs="Arial"/>
        </w:rPr>
        <w:t xml:space="preserve">y for England. </w:t>
      </w:r>
      <w:r w:rsidR="00A43541" w:rsidRPr="003939A7">
        <w:rPr>
          <w:rFonts w:cs="Arial"/>
        </w:rPr>
        <w:t>Qual</w:t>
      </w:r>
      <w:r w:rsidR="00CF0918" w:rsidRPr="003939A7">
        <w:rPr>
          <w:rFonts w:cs="Arial"/>
        </w:rPr>
        <w:t>ity of</w:t>
      </w:r>
      <w:r w:rsidR="00A43541" w:rsidRPr="003939A7">
        <w:rPr>
          <w:rFonts w:cs="Arial"/>
        </w:rPr>
        <w:t xml:space="preserve"> Life Res</w:t>
      </w:r>
      <w:r w:rsidR="00CF0918" w:rsidRPr="003939A7">
        <w:rPr>
          <w:rFonts w:cs="Arial"/>
        </w:rPr>
        <w:t>earch</w:t>
      </w:r>
      <w:r w:rsidR="0049444A" w:rsidRPr="003939A7">
        <w:rPr>
          <w:rFonts w:cs="Arial"/>
        </w:rPr>
        <w:t>,</w:t>
      </w:r>
      <w:r w:rsidR="00CF0918" w:rsidRPr="003939A7">
        <w:rPr>
          <w:rFonts w:cs="Arial"/>
        </w:rPr>
        <w:t xml:space="preserve"> </w:t>
      </w:r>
      <w:r w:rsidR="00ED5431" w:rsidRPr="003939A7">
        <w:rPr>
          <w:rFonts w:cs="Arial"/>
        </w:rPr>
        <w:t>26(5), 1129</w:t>
      </w:r>
      <w:r w:rsidR="0049444A" w:rsidRPr="003939A7">
        <w:rPr>
          <w:rFonts w:cs="Arial"/>
        </w:rPr>
        <w:t>–</w:t>
      </w:r>
      <w:r w:rsidR="00ED5431" w:rsidRPr="003939A7">
        <w:rPr>
          <w:rFonts w:cs="Arial"/>
        </w:rPr>
        <w:t>1144.</w:t>
      </w:r>
    </w:p>
    <w:p w14:paraId="5034C44C" w14:textId="30613176" w:rsidR="002D239F" w:rsidRPr="003939A7" w:rsidRDefault="002D239F" w:rsidP="001F7AA0">
      <w:pPr>
        <w:autoSpaceDE w:val="0"/>
        <w:autoSpaceDN w:val="0"/>
        <w:adjustRightInd w:val="0"/>
        <w:spacing w:after="0" w:line="360" w:lineRule="auto"/>
        <w:ind w:left="720" w:hanging="720"/>
        <w:jc w:val="both"/>
        <w:rPr>
          <w:rFonts w:cs="Arial"/>
        </w:rPr>
      </w:pPr>
      <w:r w:rsidRPr="003939A7">
        <w:rPr>
          <w:rFonts w:cs="Arial"/>
        </w:rPr>
        <w:t>Galvin, K., 2018. Introduction. In Galvin, K., 2018. (EDS) Routledge Handbook of Well-being’ London: Routledge Taylor and Francis Group.</w:t>
      </w:r>
    </w:p>
    <w:p w14:paraId="5EB19C00" w14:textId="21A6D498" w:rsidR="00E7745D" w:rsidRPr="003939A7" w:rsidRDefault="00E7745D" w:rsidP="001F7AA0">
      <w:pPr>
        <w:autoSpaceDE w:val="0"/>
        <w:autoSpaceDN w:val="0"/>
        <w:adjustRightInd w:val="0"/>
        <w:spacing w:after="0" w:line="360" w:lineRule="auto"/>
        <w:ind w:left="720" w:hanging="720"/>
        <w:jc w:val="both"/>
        <w:rPr>
          <w:rFonts w:cs="Arial"/>
        </w:rPr>
      </w:pPr>
      <w:r w:rsidRPr="003939A7">
        <w:rPr>
          <w:rFonts w:cs="Arial"/>
        </w:rPr>
        <w:t>Gesler, W., Healing places. Lanham (MD)</w:t>
      </w:r>
      <w:r w:rsidR="00EC30A4" w:rsidRPr="003939A7">
        <w:rPr>
          <w:rFonts w:cs="Arial"/>
        </w:rPr>
        <w:t>,</w:t>
      </w:r>
      <w:r w:rsidRPr="003939A7">
        <w:rPr>
          <w:rFonts w:cs="Arial"/>
        </w:rPr>
        <w:t xml:space="preserve"> Rowman &amp; Littlefield</w:t>
      </w:r>
      <w:r w:rsidR="00EC30A4" w:rsidRPr="003939A7">
        <w:rPr>
          <w:rFonts w:cs="Arial"/>
        </w:rPr>
        <w:t>.</w:t>
      </w:r>
    </w:p>
    <w:p w14:paraId="0687E861" w14:textId="54B59977" w:rsidR="00E7745D" w:rsidRPr="003939A7" w:rsidRDefault="00E7745D" w:rsidP="001F7AA0">
      <w:pPr>
        <w:autoSpaceDE w:val="0"/>
        <w:autoSpaceDN w:val="0"/>
        <w:adjustRightInd w:val="0"/>
        <w:spacing w:after="0" w:line="360" w:lineRule="auto"/>
        <w:ind w:left="720" w:hanging="720"/>
        <w:jc w:val="both"/>
        <w:rPr>
          <w:rFonts w:cs="Arial"/>
        </w:rPr>
      </w:pPr>
      <w:r w:rsidRPr="003939A7">
        <w:rPr>
          <w:rFonts w:cs="Arial"/>
        </w:rPr>
        <w:t>Griffith, E.E.H., 2018. Belonging, therapeutic landscapes, and networks. Abingdon</w:t>
      </w:r>
      <w:r w:rsidR="00EC30A4" w:rsidRPr="003939A7">
        <w:rPr>
          <w:rFonts w:cs="Arial"/>
        </w:rPr>
        <w:t>,</w:t>
      </w:r>
      <w:r w:rsidRPr="003939A7">
        <w:rPr>
          <w:rFonts w:cs="Arial"/>
        </w:rPr>
        <w:t xml:space="preserve"> Routledge</w:t>
      </w:r>
      <w:r w:rsidR="00EC30A4" w:rsidRPr="003939A7">
        <w:rPr>
          <w:rFonts w:cs="Arial"/>
        </w:rPr>
        <w:t>.</w:t>
      </w:r>
    </w:p>
    <w:p w14:paraId="52DB7958" w14:textId="77777777" w:rsidR="008D779E" w:rsidRPr="003939A7" w:rsidRDefault="008D779E" w:rsidP="001F7AA0">
      <w:pPr>
        <w:autoSpaceDE w:val="0"/>
        <w:autoSpaceDN w:val="0"/>
        <w:adjustRightInd w:val="0"/>
        <w:spacing w:after="0" w:line="360" w:lineRule="auto"/>
        <w:ind w:left="720" w:hanging="720"/>
        <w:jc w:val="both"/>
      </w:pPr>
      <w:r w:rsidRPr="003939A7">
        <w:t xml:space="preserve">Hickman, C., 2005. The picturesque at Brislington House, Bristol: the role of landscape in relation to the treatment of mental illness in the early nineteenth-century asylum. </w:t>
      </w:r>
      <w:r w:rsidRPr="003939A7">
        <w:rPr>
          <w:i/>
        </w:rPr>
        <w:t>Garden History</w:t>
      </w:r>
      <w:r w:rsidRPr="003939A7">
        <w:t>, 33, 47–60.</w:t>
      </w:r>
    </w:p>
    <w:p w14:paraId="2F960F83" w14:textId="48CB05ED" w:rsidR="00BE0811" w:rsidRPr="003939A7" w:rsidRDefault="00BE0811" w:rsidP="001F7AA0">
      <w:pPr>
        <w:autoSpaceDE w:val="0"/>
        <w:autoSpaceDN w:val="0"/>
        <w:adjustRightInd w:val="0"/>
        <w:spacing w:after="0" w:line="360" w:lineRule="auto"/>
        <w:ind w:left="720" w:hanging="720"/>
        <w:jc w:val="both"/>
        <w:rPr>
          <w:rFonts w:cs="Arial"/>
        </w:rPr>
      </w:pPr>
      <w:r w:rsidRPr="003939A7">
        <w:rPr>
          <w:rFonts w:cs="Arial"/>
        </w:rPr>
        <w:t>Hosseinpoor Najjar</w:t>
      </w:r>
      <w:r w:rsidR="00EC30A4" w:rsidRPr="003939A7">
        <w:rPr>
          <w:rFonts w:cs="Arial"/>
        </w:rPr>
        <w:t>,</w:t>
      </w:r>
      <w:r w:rsidRPr="003939A7">
        <w:rPr>
          <w:rFonts w:cs="Arial"/>
        </w:rPr>
        <w:t xml:space="preserve"> A., Forrozandeh</w:t>
      </w:r>
      <w:r w:rsidR="00EC30A4" w:rsidRPr="003939A7">
        <w:rPr>
          <w:rFonts w:cs="Arial"/>
        </w:rPr>
        <w:t>,</w:t>
      </w:r>
      <w:r w:rsidRPr="003939A7">
        <w:rPr>
          <w:rFonts w:cs="Arial"/>
        </w:rPr>
        <w:t xml:space="preserve"> E., Asadi Gharneh</w:t>
      </w:r>
      <w:r w:rsidR="00EC30A4" w:rsidRPr="003939A7">
        <w:rPr>
          <w:rFonts w:cs="Arial"/>
        </w:rPr>
        <w:t>,</w:t>
      </w:r>
      <w:r w:rsidRPr="003939A7">
        <w:rPr>
          <w:rFonts w:cs="Arial"/>
        </w:rPr>
        <w:t xml:space="preserve"> H</w:t>
      </w:r>
      <w:r w:rsidR="00EC30A4" w:rsidRPr="003939A7">
        <w:rPr>
          <w:rFonts w:cs="Arial"/>
        </w:rPr>
        <w:t>.</w:t>
      </w:r>
      <w:r w:rsidRPr="003939A7">
        <w:rPr>
          <w:rFonts w:cs="Arial"/>
        </w:rPr>
        <w:t>A., 2018. Horticulture therapy effects on memory and psychological symptoms of depressed male outpatients. Iranian Rehabilitation Journal, 16(2), 147</w:t>
      </w:r>
      <w:r w:rsidR="0049444A" w:rsidRPr="003939A7">
        <w:rPr>
          <w:rFonts w:cs="Arial"/>
        </w:rPr>
        <w:t>–</w:t>
      </w:r>
      <w:r w:rsidRPr="003939A7">
        <w:rPr>
          <w:rFonts w:cs="Arial"/>
        </w:rPr>
        <w:t>154</w:t>
      </w:r>
      <w:r w:rsidR="00EC30A4" w:rsidRPr="003939A7">
        <w:rPr>
          <w:rFonts w:cs="Arial"/>
        </w:rPr>
        <w:t>.</w:t>
      </w:r>
    </w:p>
    <w:p w14:paraId="755861F4" w14:textId="61BFE438" w:rsidR="000C4C77" w:rsidRPr="003939A7" w:rsidRDefault="000C4C77" w:rsidP="001F7AA0">
      <w:pPr>
        <w:autoSpaceDE w:val="0"/>
        <w:autoSpaceDN w:val="0"/>
        <w:adjustRightInd w:val="0"/>
        <w:spacing w:after="0" w:line="360" w:lineRule="auto"/>
        <w:ind w:left="720" w:hanging="720"/>
        <w:jc w:val="both"/>
        <w:rPr>
          <w:rFonts w:cs="Arial"/>
        </w:rPr>
      </w:pPr>
      <w:r w:rsidRPr="003939A7">
        <w:rPr>
          <w:rFonts w:cs="Arial"/>
        </w:rPr>
        <w:t>Kindleysides, M. and E. Biglands 2015. ‘Thinking outside the box, and making it too’: Piloting an occupational therapy group at an open-air museum. Arts and Health 7(3): 271–278.</w:t>
      </w:r>
    </w:p>
    <w:p w14:paraId="1F727F3D" w14:textId="5A0E2E49" w:rsidR="005A4E1F" w:rsidRPr="003939A7" w:rsidRDefault="00EC30A4" w:rsidP="001F7AA0">
      <w:pPr>
        <w:autoSpaceDE w:val="0"/>
        <w:autoSpaceDN w:val="0"/>
        <w:adjustRightInd w:val="0"/>
        <w:spacing w:after="0" w:line="360" w:lineRule="auto"/>
        <w:ind w:left="720" w:hanging="720"/>
        <w:jc w:val="both"/>
        <w:rPr>
          <w:rFonts w:cs="Arial"/>
        </w:rPr>
      </w:pPr>
      <w:r w:rsidRPr="003939A7">
        <w:rPr>
          <w:rFonts w:cs="Arial"/>
        </w:rPr>
        <w:t xml:space="preserve">Kings Fund, </w:t>
      </w:r>
      <w:r w:rsidR="005A4E1F" w:rsidRPr="003939A7">
        <w:rPr>
          <w:rFonts w:cs="Arial"/>
        </w:rPr>
        <w:t xml:space="preserve">2017. What is social prescribing? Available from </w:t>
      </w:r>
      <w:hyperlink r:id="rId24" w:history="1">
        <w:r w:rsidR="005A4E1F" w:rsidRPr="003939A7">
          <w:rPr>
            <w:rStyle w:val="Hyperlink"/>
          </w:rPr>
          <w:t>https://www.kingsfund.org.uk/publications/social-prescribing</w:t>
        </w:r>
      </w:hyperlink>
      <w:r w:rsidR="005A4E1F" w:rsidRPr="003939A7">
        <w:t xml:space="preserve"> [accessed 2 Nov 2018]</w:t>
      </w:r>
    </w:p>
    <w:p w14:paraId="06880787" w14:textId="1C9E0B6E" w:rsidR="00343F39" w:rsidRPr="003939A7" w:rsidRDefault="00343F39" w:rsidP="001F7AA0">
      <w:pPr>
        <w:autoSpaceDE w:val="0"/>
        <w:autoSpaceDN w:val="0"/>
        <w:adjustRightInd w:val="0"/>
        <w:spacing w:after="0" w:line="360" w:lineRule="auto"/>
        <w:ind w:left="720" w:hanging="720"/>
        <w:jc w:val="both"/>
        <w:rPr>
          <w:rFonts w:cs="Arial"/>
        </w:rPr>
      </w:pPr>
      <w:r w:rsidRPr="003939A7">
        <w:rPr>
          <w:rFonts w:cs="Arial"/>
        </w:rPr>
        <w:t>Kitzinger, J., 2000. Focus groups with users and providers of health care. In</w:t>
      </w:r>
      <w:r w:rsidR="00EC30A4" w:rsidRPr="003939A7">
        <w:rPr>
          <w:rFonts w:cs="Arial"/>
        </w:rPr>
        <w:t>:</w:t>
      </w:r>
      <w:r w:rsidRPr="003939A7">
        <w:rPr>
          <w:rFonts w:cs="Arial"/>
        </w:rPr>
        <w:t xml:space="preserve"> Pope C., Mays N. (Eds.), Qualitative research in health ca</w:t>
      </w:r>
      <w:r w:rsidR="00EC30A4" w:rsidRPr="003939A7">
        <w:rPr>
          <w:rFonts w:cs="Arial"/>
        </w:rPr>
        <w:t>re (Second edition). London,</w:t>
      </w:r>
      <w:r w:rsidRPr="003939A7">
        <w:rPr>
          <w:rFonts w:cs="Arial"/>
        </w:rPr>
        <w:t xml:space="preserve"> British Medical Association</w:t>
      </w:r>
      <w:r w:rsidR="00EC30A4" w:rsidRPr="003939A7">
        <w:rPr>
          <w:rFonts w:cs="Arial"/>
        </w:rPr>
        <w:t>, pp. 20–29.</w:t>
      </w:r>
    </w:p>
    <w:p w14:paraId="43D15671" w14:textId="39B8BC28" w:rsidR="00654A50" w:rsidRPr="003939A7" w:rsidRDefault="00654A50" w:rsidP="001F7AA0">
      <w:pPr>
        <w:autoSpaceDE w:val="0"/>
        <w:autoSpaceDN w:val="0"/>
        <w:adjustRightInd w:val="0"/>
        <w:spacing w:after="0" w:line="360" w:lineRule="auto"/>
        <w:ind w:left="720" w:hanging="720"/>
        <w:jc w:val="both"/>
        <w:rPr>
          <w:rFonts w:cs="Arial"/>
        </w:rPr>
      </w:pPr>
      <w:r w:rsidRPr="003939A7">
        <w:rPr>
          <w:rFonts w:cs="Arial"/>
        </w:rPr>
        <w:t>Leamy, M., Bird, V., Le Boutillier, C., Willaims, J., Slade, M., 2011</w:t>
      </w:r>
      <w:r w:rsidR="007910DC" w:rsidRPr="003939A7">
        <w:rPr>
          <w:rFonts w:cs="Arial"/>
        </w:rPr>
        <w:t>. Conceptual framework for personal recovery in mental health: systematic review and narrative synthesises. British Journal of Psychiatry 199, 445-452.</w:t>
      </w:r>
    </w:p>
    <w:p w14:paraId="2B957AA5" w14:textId="260F49B6" w:rsidR="00890025" w:rsidRPr="003939A7" w:rsidRDefault="00890025" w:rsidP="001F7AA0">
      <w:pPr>
        <w:autoSpaceDE w:val="0"/>
        <w:autoSpaceDN w:val="0"/>
        <w:adjustRightInd w:val="0"/>
        <w:spacing w:after="0" w:line="360" w:lineRule="auto"/>
        <w:ind w:left="720" w:hanging="720"/>
        <w:jc w:val="both"/>
        <w:rPr>
          <w:rFonts w:cs="Arial"/>
        </w:rPr>
      </w:pPr>
      <w:r w:rsidRPr="003939A7">
        <w:rPr>
          <w:rFonts w:cs="Arial"/>
        </w:rPr>
        <w:t>Leung, F</w:t>
      </w:r>
      <w:r w:rsidR="00EC30A4" w:rsidRPr="003939A7">
        <w:rPr>
          <w:rFonts w:cs="Arial"/>
        </w:rPr>
        <w:t>.</w:t>
      </w:r>
      <w:r w:rsidRPr="003939A7">
        <w:rPr>
          <w:rFonts w:cs="Arial"/>
        </w:rPr>
        <w:t>H., Savithiri, R., 2009. Spotlight on focus groups. Canadian Family Physician</w:t>
      </w:r>
      <w:r w:rsidR="0049444A" w:rsidRPr="003939A7">
        <w:rPr>
          <w:rFonts w:cs="Arial"/>
        </w:rPr>
        <w:t>,</w:t>
      </w:r>
      <w:r w:rsidRPr="003939A7">
        <w:rPr>
          <w:rFonts w:cs="Arial"/>
        </w:rPr>
        <w:t xml:space="preserve"> 55(2), 218–219</w:t>
      </w:r>
    </w:p>
    <w:p w14:paraId="208ED30D" w14:textId="25FB43F2" w:rsidR="006D2E6A" w:rsidRPr="003939A7" w:rsidRDefault="006D2E6A" w:rsidP="006D2E6A">
      <w:pPr>
        <w:autoSpaceDE w:val="0"/>
        <w:autoSpaceDN w:val="0"/>
        <w:adjustRightInd w:val="0"/>
        <w:spacing w:after="0" w:line="360" w:lineRule="auto"/>
        <w:ind w:left="720" w:hanging="720"/>
        <w:jc w:val="both"/>
        <w:rPr>
          <w:rFonts w:cs="Arial"/>
        </w:rPr>
      </w:pPr>
      <w:r w:rsidRPr="003939A7">
        <w:rPr>
          <w:rFonts w:cs="Arial"/>
        </w:rPr>
        <w:lastRenderedPageBreak/>
        <w:t>Lovell, R., Husk, K., Cooper, C., Stahl-Timmins, W., Garside, R., 2015. Understanding how environmental enhancement and conservation activities may benefit health and wellbeing: a systematic review. BMC Public Health 15:864</w:t>
      </w:r>
      <w:r w:rsidRPr="003939A7">
        <w:t xml:space="preserve"> </w:t>
      </w:r>
      <w:r w:rsidRPr="003939A7">
        <w:rPr>
          <w:rFonts w:cs="Arial"/>
        </w:rPr>
        <w:t>DOI 10.1186/s12889-015-2214-3</w:t>
      </w:r>
      <w:r w:rsidR="00EC30A4" w:rsidRPr="003939A7">
        <w:rPr>
          <w:rFonts w:cs="Arial"/>
        </w:rPr>
        <w:t>.</w:t>
      </w:r>
    </w:p>
    <w:p w14:paraId="22435BA9" w14:textId="762935A0" w:rsidR="006D55AE" w:rsidRPr="003939A7" w:rsidRDefault="006D55AE" w:rsidP="001F7AA0">
      <w:pPr>
        <w:autoSpaceDE w:val="0"/>
        <w:autoSpaceDN w:val="0"/>
        <w:adjustRightInd w:val="0"/>
        <w:spacing w:after="0" w:line="360" w:lineRule="auto"/>
        <w:ind w:left="720" w:hanging="720"/>
        <w:jc w:val="both"/>
        <w:rPr>
          <w:rFonts w:eastAsia="Times New Roman" w:cs="Arial"/>
          <w:lang w:eastAsia="en-GB"/>
        </w:rPr>
      </w:pPr>
      <w:r w:rsidRPr="003939A7">
        <w:rPr>
          <w:rFonts w:cs="Arial"/>
        </w:rPr>
        <w:t>Lombardo, P., Jones, W., Wang, L., Shen, X., Goldner, E., 2018. The fundamental association between mental health and life satisfaction: results from successive waves of a Canadian national survey. B</w:t>
      </w:r>
      <w:r w:rsidRPr="003939A7">
        <w:rPr>
          <w:rFonts w:eastAsia="Times New Roman" w:cs="Arial"/>
          <w:lang w:eastAsia="en-GB"/>
        </w:rPr>
        <w:t>MC Public Health</w:t>
      </w:r>
      <w:r w:rsidR="0049444A" w:rsidRPr="003939A7">
        <w:rPr>
          <w:rFonts w:eastAsia="Times New Roman" w:cs="Arial"/>
          <w:lang w:eastAsia="en-GB"/>
        </w:rPr>
        <w:t>,</w:t>
      </w:r>
      <w:r w:rsidRPr="003939A7">
        <w:rPr>
          <w:rFonts w:eastAsia="Times New Roman" w:cs="Arial"/>
          <w:lang w:eastAsia="en-GB"/>
        </w:rPr>
        <w:t xml:space="preserve"> 18, 342</w:t>
      </w:r>
      <w:r w:rsidR="00EC30A4" w:rsidRPr="003939A7">
        <w:rPr>
          <w:rFonts w:eastAsia="Times New Roman" w:cs="Arial"/>
          <w:lang w:eastAsia="en-GB"/>
        </w:rPr>
        <w:t>.</w:t>
      </w:r>
      <w:r w:rsidRPr="003939A7">
        <w:rPr>
          <w:rFonts w:eastAsia="Times New Roman" w:cs="Arial"/>
          <w:lang w:eastAsia="en-GB"/>
        </w:rPr>
        <w:t xml:space="preserve"> </w:t>
      </w:r>
    </w:p>
    <w:p w14:paraId="0D20363E" w14:textId="336A6851" w:rsidR="00BE0811" w:rsidRPr="003939A7" w:rsidRDefault="00BE0811" w:rsidP="00BE0811">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Malina, M., Nørreklit, H., Selto, F., 2011. Lessons learned: advantages and disadvantages of mixed method research. Qualitative Research in Accounting &amp; Management, 8(1), 59</w:t>
      </w:r>
      <w:r w:rsidR="0049444A" w:rsidRPr="003939A7">
        <w:rPr>
          <w:rFonts w:eastAsia="Times New Roman" w:cs="Arial"/>
          <w:lang w:eastAsia="en-GB"/>
        </w:rPr>
        <w:t>–</w:t>
      </w:r>
      <w:r w:rsidRPr="003939A7">
        <w:rPr>
          <w:rFonts w:eastAsia="Times New Roman" w:cs="Arial"/>
          <w:lang w:eastAsia="en-GB"/>
        </w:rPr>
        <w:t>71</w:t>
      </w:r>
      <w:r w:rsidR="00EC30A4" w:rsidRPr="003939A7">
        <w:rPr>
          <w:rFonts w:eastAsia="Times New Roman" w:cs="Arial"/>
          <w:lang w:eastAsia="en-GB"/>
        </w:rPr>
        <w:t>.</w:t>
      </w:r>
    </w:p>
    <w:p w14:paraId="7211929F" w14:textId="77777777" w:rsidR="008D779E" w:rsidRPr="003939A7" w:rsidRDefault="00BE0811" w:rsidP="0093191F">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McKim, C., 2017. The value of mixed methods research: a mixed methods study. Journal of Mixed Methods Research</w:t>
      </w:r>
      <w:r w:rsidR="0049444A" w:rsidRPr="003939A7">
        <w:rPr>
          <w:rFonts w:eastAsia="Times New Roman" w:cs="Arial"/>
          <w:lang w:eastAsia="en-GB"/>
        </w:rPr>
        <w:t>,</w:t>
      </w:r>
      <w:r w:rsidRPr="003939A7">
        <w:rPr>
          <w:rFonts w:eastAsia="Times New Roman" w:cs="Arial"/>
          <w:lang w:eastAsia="en-GB"/>
        </w:rPr>
        <w:t xml:space="preserve"> 11(2), 202</w:t>
      </w:r>
      <w:r w:rsidR="0049444A" w:rsidRPr="003939A7">
        <w:rPr>
          <w:rFonts w:eastAsia="Times New Roman" w:cs="Arial"/>
          <w:lang w:eastAsia="en-GB"/>
        </w:rPr>
        <w:t>–</w:t>
      </w:r>
      <w:r w:rsidRPr="003939A7">
        <w:rPr>
          <w:rFonts w:eastAsia="Times New Roman" w:cs="Arial"/>
          <w:lang w:eastAsia="en-GB"/>
        </w:rPr>
        <w:t>222</w:t>
      </w:r>
      <w:r w:rsidR="00EC30A4" w:rsidRPr="003939A7">
        <w:rPr>
          <w:rFonts w:eastAsia="Times New Roman" w:cs="Arial"/>
          <w:lang w:eastAsia="en-GB"/>
        </w:rPr>
        <w:t>.</w:t>
      </w:r>
      <w:r w:rsidR="008D779E" w:rsidRPr="003939A7">
        <w:rPr>
          <w:rFonts w:eastAsia="Times New Roman" w:cs="Arial"/>
          <w:lang w:eastAsia="en-GB"/>
        </w:rPr>
        <w:t xml:space="preserve"> </w:t>
      </w:r>
    </w:p>
    <w:p w14:paraId="69BDAA9F" w14:textId="435E99D1" w:rsidR="000C4C77" w:rsidRPr="003939A7" w:rsidRDefault="000C4C77" w:rsidP="0093191F">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Ministry of Defence &amp; Defence Infrastructure Organization 2019. Operation Nightingale</w:t>
      </w:r>
      <w:r w:rsidR="00F270A7" w:rsidRPr="003939A7">
        <w:rPr>
          <w:rFonts w:eastAsia="Times New Roman" w:cs="Arial"/>
          <w:lang w:eastAsia="en-GB"/>
        </w:rPr>
        <w:t xml:space="preserve">. Available from: </w:t>
      </w:r>
      <w:hyperlink r:id="rId25" w:history="1">
        <w:r w:rsidR="00F270A7" w:rsidRPr="003939A7">
          <w:rPr>
            <w:rStyle w:val="Hyperlink"/>
            <w:rFonts w:eastAsia="Times New Roman" w:cs="Arial"/>
            <w:lang w:eastAsia="en-GB"/>
          </w:rPr>
          <w:t>https://www.gov.uk/guidance/operation-nightingale</w:t>
        </w:r>
      </w:hyperlink>
      <w:r w:rsidR="00F270A7" w:rsidRPr="003939A7">
        <w:rPr>
          <w:rFonts w:eastAsia="Times New Roman" w:cs="Arial"/>
          <w:lang w:eastAsia="en-GB"/>
        </w:rPr>
        <w:t xml:space="preserve"> [accessed 26.9.2019]</w:t>
      </w:r>
    </w:p>
    <w:p w14:paraId="175F0CBC" w14:textId="2732D307" w:rsidR="0093191F" w:rsidRPr="003939A7" w:rsidRDefault="0093191F" w:rsidP="0093191F">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 xml:space="preserve">Natural England, 2016. Natural England Access to Evidence Information Note EIN018 Links between natural environments and mental health: evidence briefing. Available from </w:t>
      </w:r>
      <w:hyperlink r:id="rId26" w:history="1">
        <w:r w:rsidRPr="003939A7">
          <w:rPr>
            <w:rStyle w:val="Hyperlink"/>
            <w:rFonts w:eastAsia="Times New Roman" w:cs="Arial"/>
            <w:lang w:eastAsia="en-GB"/>
          </w:rPr>
          <w:t>https://www.google.com/url?sa=t&amp;rct=j&amp;q=&amp;esrc=s&amp;source=web&amp;cd=1&amp;ved=2ahUKEwjTnY3hgZjgAhWdSxUIHbB2DWQQFjAAegQIChAC&amp;url=http%3A%2F%2Fpublications.naturalengland.org.uk%2Ffile%2F4681263907078144&amp;usg=AOvVaw0fEJByhAFvU7tM4AjHtcSt</w:t>
        </w:r>
      </w:hyperlink>
      <w:r w:rsidRPr="003939A7">
        <w:rPr>
          <w:rFonts w:eastAsia="Times New Roman" w:cs="Arial"/>
          <w:lang w:eastAsia="en-GB"/>
        </w:rPr>
        <w:t xml:space="preserve"> [accessed 31.1.2019]</w:t>
      </w:r>
      <w:r w:rsidR="00EC30A4" w:rsidRPr="003939A7">
        <w:rPr>
          <w:rFonts w:eastAsia="Times New Roman" w:cs="Arial"/>
          <w:lang w:eastAsia="en-GB"/>
        </w:rPr>
        <w:t>.</w:t>
      </w:r>
    </w:p>
    <w:p w14:paraId="3478388D" w14:textId="1C6E1E61" w:rsidR="003F6FE5" w:rsidRPr="003939A7" w:rsidRDefault="003F6FE5" w:rsidP="001F7AA0">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Noone</w:t>
      </w:r>
      <w:r w:rsidR="00EC30A4" w:rsidRPr="003939A7">
        <w:rPr>
          <w:rFonts w:eastAsia="Times New Roman" w:cs="Arial"/>
          <w:lang w:eastAsia="en-GB"/>
        </w:rPr>
        <w:t>,</w:t>
      </w:r>
      <w:r w:rsidRPr="003939A7">
        <w:rPr>
          <w:rFonts w:eastAsia="Times New Roman" w:cs="Arial"/>
          <w:lang w:eastAsia="en-GB"/>
        </w:rPr>
        <w:t xml:space="preserve"> S., Innes</w:t>
      </w:r>
      <w:r w:rsidR="00EC30A4" w:rsidRPr="003939A7">
        <w:rPr>
          <w:rFonts w:eastAsia="Times New Roman" w:cs="Arial"/>
          <w:lang w:eastAsia="en-GB"/>
        </w:rPr>
        <w:t>,</w:t>
      </w:r>
      <w:r w:rsidRPr="003939A7">
        <w:rPr>
          <w:rFonts w:eastAsia="Times New Roman" w:cs="Arial"/>
          <w:lang w:eastAsia="en-GB"/>
        </w:rPr>
        <w:t xml:space="preserve"> A., Kelly</w:t>
      </w:r>
      <w:r w:rsidR="00EC30A4" w:rsidRPr="003939A7">
        <w:rPr>
          <w:rFonts w:eastAsia="Times New Roman" w:cs="Arial"/>
          <w:lang w:eastAsia="en-GB"/>
        </w:rPr>
        <w:t>,</w:t>
      </w:r>
      <w:r w:rsidRPr="003939A7">
        <w:rPr>
          <w:rFonts w:eastAsia="Times New Roman" w:cs="Arial"/>
          <w:lang w:eastAsia="en-GB"/>
        </w:rPr>
        <w:t xml:space="preserve"> F., </w:t>
      </w:r>
      <w:r w:rsidR="0093191F" w:rsidRPr="003939A7">
        <w:rPr>
          <w:rFonts w:eastAsia="Times New Roman" w:cs="Arial"/>
          <w:lang w:eastAsia="en-GB"/>
        </w:rPr>
        <w:t>M</w:t>
      </w:r>
      <w:r w:rsidRPr="003939A7">
        <w:rPr>
          <w:rFonts w:eastAsia="Times New Roman" w:cs="Arial"/>
          <w:lang w:eastAsia="en-GB"/>
        </w:rPr>
        <w:t>ayers</w:t>
      </w:r>
      <w:r w:rsidR="00EC30A4" w:rsidRPr="003939A7">
        <w:rPr>
          <w:rFonts w:eastAsia="Times New Roman" w:cs="Arial"/>
          <w:lang w:eastAsia="en-GB"/>
        </w:rPr>
        <w:t>,</w:t>
      </w:r>
      <w:r w:rsidR="009E7767" w:rsidRPr="003939A7">
        <w:rPr>
          <w:rFonts w:eastAsia="Times New Roman" w:cs="Arial"/>
          <w:lang w:eastAsia="en-GB"/>
        </w:rPr>
        <w:t xml:space="preserve"> A., 2015. “</w:t>
      </w:r>
      <w:r w:rsidRPr="003939A7">
        <w:rPr>
          <w:rFonts w:eastAsia="Times New Roman" w:cs="Arial"/>
          <w:lang w:eastAsia="en-GB"/>
        </w:rPr>
        <w:t>The nourishing soil of the soul</w:t>
      </w:r>
      <w:r w:rsidR="009E7767" w:rsidRPr="003939A7">
        <w:rPr>
          <w:rFonts w:eastAsia="Times New Roman" w:cs="Arial"/>
          <w:lang w:eastAsia="en-GB"/>
        </w:rPr>
        <w:t>”</w:t>
      </w:r>
      <w:r w:rsidRPr="003939A7">
        <w:rPr>
          <w:rFonts w:eastAsia="Times New Roman" w:cs="Arial"/>
          <w:lang w:eastAsia="en-GB"/>
        </w:rPr>
        <w:t xml:space="preserve">: the role of horticultural therapy in promoting well-being in community-dwelling people with dementia. </w:t>
      </w:r>
      <w:r w:rsidR="00612BA8" w:rsidRPr="003939A7">
        <w:rPr>
          <w:rFonts w:eastAsia="Times New Roman" w:cs="Arial"/>
          <w:lang w:eastAsia="en-GB"/>
        </w:rPr>
        <w:t>Dementia</w:t>
      </w:r>
      <w:r w:rsidR="007E756E" w:rsidRPr="003939A7">
        <w:rPr>
          <w:rFonts w:eastAsia="Times New Roman" w:cs="Arial"/>
          <w:lang w:eastAsia="en-GB"/>
        </w:rPr>
        <w:t>, 16(7), 897</w:t>
      </w:r>
      <w:r w:rsidR="0049444A" w:rsidRPr="003939A7">
        <w:rPr>
          <w:rFonts w:eastAsia="Times New Roman" w:cs="Arial"/>
          <w:lang w:eastAsia="en-GB"/>
        </w:rPr>
        <w:t>–</w:t>
      </w:r>
      <w:r w:rsidR="007E756E" w:rsidRPr="003939A7">
        <w:rPr>
          <w:rFonts w:eastAsia="Times New Roman" w:cs="Arial"/>
          <w:lang w:eastAsia="en-GB"/>
        </w:rPr>
        <w:t>910</w:t>
      </w:r>
      <w:r w:rsidR="00EC30A4" w:rsidRPr="003939A7">
        <w:rPr>
          <w:rFonts w:eastAsia="Times New Roman" w:cs="Arial"/>
          <w:lang w:eastAsia="en-GB"/>
        </w:rPr>
        <w:t>.</w:t>
      </w:r>
    </w:p>
    <w:p w14:paraId="55C6E677" w14:textId="20764DFC" w:rsidR="00B43B70" w:rsidRPr="003939A7" w:rsidRDefault="00B43B70" w:rsidP="001F7AA0">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NHS England, 2019. Social Prescribing and community based support; Summary guide. London: NHS England.</w:t>
      </w:r>
    </w:p>
    <w:p w14:paraId="438C8FF6" w14:textId="4F8F75D9" w:rsidR="000048DD" w:rsidRPr="003939A7" w:rsidRDefault="000048DD" w:rsidP="001F7AA0">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 xml:space="preserve">Office for National Statistics., 2019. Measures of national well-being dashboard. Available from: </w:t>
      </w:r>
      <w:hyperlink r:id="rId27" w:history="1">
        <w:r w:rsidRPr="003939A7">
          <w:rPr>
            <w:rStyle w:val="Hyperlink"/>
            <w:rFonts w:eastAsia="Times New Roman" w:cs="Arial"/>
            <w:lang w:eastAsia="en-GB"/>
          </w:rPr>
          <w:t>https://www.ons.gov.uk/peoplepopulationandcommunity/wellbeing/articles/measuresofnationalwellbeingdashboard/2018-04-25</w:t>
        </w:r>
      </w:hyperlink>
      <w:r w:rsidRPr="003939A7">
        <w:rPr>
          <w:rFonts w:eastAsia="Times New Roman" w:cs="Arial"/>
          <w:lang w:eastAsia="en-GB"/>
        </w:rPr>
        <w:t xml:space="preserve"> [accessed 16.9.2019].</w:t>
      </w:r>
    </w:p>
    <w:p w14:paraId="6C15D1AF" w14:textId="608D221A" w:rsidR="002D239F" w:rsidRPr="003939A7" w:rsidRDefault="002D239F" w:rsidP="001F7AA0">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 xml:space="preserve">Office for National Statistics., 2017. Measuring national well-being: Life in the UK, Apr 2017. Available from:  dashboard </w:t>
      </w:r>
      <w:hyperlink r:id="rId28" w:history="1">
        <w:r w:rsidRPr="003939A7">
          <w:rPr>
            <w:rStyle w:val="Hyperlink"/>
            <w:rFonts w:eastAsia="Times New Roman" w:cs="Arial"/>
            <w:lang w:eastAsia="en-GB"/>
          </w:rPr>
          <w:t>https://www.ons.gov.uk/peoplepopulationandcommunity/wellbeing/articles/measuringnationalwellbeing/apr2017</w:t>
        </w:r>
      </w:hyperlink>
      <w:r w:rsidRPr="003939A7">
        <w:rPr>
          <w:rFonts w:eastAsia="Times New Roman" w:cs="Arial"/>
          <w:lang w:eastAsia="en-GB"/>
        </w:rPr>
        <w:t xml:space="preserve"> [accessed 16.9.2019].</w:t>
      </w:r>
    </w:p>
    <w:p w14:paraId="031E522B" w14:textId="6845FBD9" w:rsidR="00E21CB4" w:rsidRPr="003939A7" w:rsidRDefault="00E21CB4" w:rsidP="001F7AA0">
      <w:pPr>
        <w:autoSpaceDE w:val="0"/>
        <w:autoSpaceDN w:val="0"/>
        <w:adjustRightInd w:val="0"/>
        <w:spacing w:after="0" w:line="360" w:lineRule="auto"/>
        <w:ind w:left="720" w:hanging="720"/>
        <w:jc w:val="both"/>
        <w:rPr>
          <w:rFonts w:eastAsia="Times New Roman" w:cs="Arial"/>
          <w:lang w:eastAsia="en-GB"/>
        </w:rPr>
      </w:pPr>
      <w:r w:rsidRPr="003939A7">
        <w:rPr>
          <w:rFonts w:eastAsia="Times New Roman" w:cs="Arial"/>
          <w:lang w:eastAsia="en-GB"/>
        </w:rPr>
        <w:t>Rolls</w:t>
      </w:r>
      <w:r w:rsidR="00EC30A4" w:rsidRPr="003939A7">
        <w:rPr>
          <w:rFonts w:eastAsia="Times New Roman" w:cs="Arial"/>
          <w:lang w:eastAsia="en-GB"/>
        </w:rPr>
        <w:t>,</w:t>
      </w:r>
      <w:r w:rsidRPr="003939A7">
        <w:rPr>
          <w:rFonts w:eastAsia="Times New Roman" w:cs="Arial"/>
          <w:lang w:eastAsia="en-GB"/>
        </w:rPr>
        <w:t xml:space="preserve"> S., </w:t>
      </w:r>
      <w:r w:rsidR="00A27E14" w:rsidRPr="003939A7">
        <w:rPr>
          <w:rFonts w:eastAsia="Times New Roman" w:cs="Arial"/>
          <w:lang w:eastAsia="en-GB"/>
        </w:rPr>
        <w:t>Sund</w:t>
      </w:r>
      <w:r w:rsidRPr="003939A7">
        <w:rPr>
          <w:rFonts w:eastAsia="Times New Roman" w:cs="Arial"/>
          <w:lang w:eastAsia="en-GB"/>
        </w:rPr>
        <w:t>erland</w:t>
      </w:r>
      <w:r w:rsidR="00EC30A4" w:rsidRPr="003939A7">
        <w:rPr>
          <w:rFonts w:eastAsia="Times New Roman" w:cs="Arial"/>
          <w:lang w:eastAsia="en-GB"/>
        </w:rPr>
        <w:t>,</w:t>
      </w:r>
      <w:r w:rsidRPr="003939A7">
        <w:rPr>
          <w:rFonts w:eastAsia="Times New Roman" w:cs="Arial"/>
          <w:lang w:eastAsia="en-GB"/>
        </w:rPr>
        <w:t xml:space="preserve"> T., 2014. Microeconomic evidence for the benefits of investment in the environment 2 (MEBIE2). Natural England Research report NERR057. Available at: </w:t>
      </w:r>
      <w:r w:rsidR="00A87632" w:rsidRPr="003939A7">
        <w:rPr>
          <w:rFonts w:eastAsia="Times New Roman" w:cs="Arial"/>
          <w:lang w:eastAsia="en-GB"/>
        </w:rPr>
        <w:t>publications.naturalengland.org.uk/publication/6692039286587392</w:t>
      </w:r>
      <w:r w:rsidR="00EC30A4" w:rsidRPr="003939A7">
        <w:rPr>
          <w:rFonts w:eastAsia="Times New Roman" w:cs="Arial"/>
          <w:lang w:eastAsia="en-GB"/>
        </w:rPr>
        <w:t>,</w:t>
      </w:r>
    </w:p>
    <w:p w14:paraId="3D42E009" w14:textId="1E8C304E" w:rsidR="0003499B" w:rsidRPr="003939A7" w:rsidRDefault="0003499B" w:rsidP="001F7AA0">
      <w:pPr>
        <w:autoSpaceDE w:val="0"/>
        <w:autoSpaceDN w:val="0"/>
        <w:adjustRightInd w:val="0"/>
        <w:spacing w:after="0" w:line="360" w:lineRule="auto"/>
        <w:ind w:left="720" w:hanging="720"/>
        <w:jc w:val="both"/>
        <w:rPr>
          <w:rFonts w:cs="Arial"/>
        </w:rPr>
      </w:pPr>
      <w:r w:rsidRPr="003939A7">
        <w:rPr>
          <w:rFonts w:cs="Arial"/>
        </w:rPr>
        <w:lastRenderedPageBreak/>
        <w:t>Rutherford, S., 2005. Landscapers for the mind: English asylum designers, 1845–1914. Garden History, 33(1), 61–86</w:t>
      </w:r>
      <w:r w:rsidR="00EC30A4" w:rsidRPr="003939A7">
        <w:rPr>
          <w:rFonts w:cs="Arial"/>
        </w:rPr>
        <w:t>.</w:t>
      </w:r>
    </w:p>
    <w:p w14:paraId="63F4745F" w14:textId="37B3CA08" w:rsidR="004000E1" w:rsidRPr="003939A7" w:rsidRDefault="00F22CE5" w:rsidP="001F7AA0">
      <w:pPr>
        <w:autoSpaceDE w:val="0"/>
        <w:autoSpaceDN w:val="0"/>
        <w:adjustRightInd w:val="0"/>
        <w:spacing w:after="0" w:line="360" w:lineRule="auto"/>
        <w:ind w:left="720" w:hanging="720"/>
        <w:jc w:val="both"/>
        <w:rPr>
          <w:rFonts w:cs="CharisSIL"/>
        </w:rPr>
      </w:pPr>
      <w:r w:rsidRPr="003939A7">
        <w:rPr>
          <w:rFonts w:cs="CharisSIL"/>
        </w:rPr>
        <w:t>Steel, Z., Marnane, C., Iranpour, C., Chey, T., Jackson, J., Patel, V., Silove, D., 2014. T</w:t>
      </w:r>
      <w:r w:rsidR="004000E1" w:rsidRPr="003939A7">
        <w:rPr>
          <w:rFonts w:cs="CharisSIL"/>
        </w:rPr>
        <w:t>he global prevalence of common mental</w:t>
      </w:r>
      <w:r w:rsidRPr="003939A7">
        <w:rPr>
          <w:rFonts w:cs="CharisSIL"/>
        </w:rPr>
        <w:t xml:space="preserve"> </w:t>
      </w:r>
      <w:r w:rsidR="004000E1" w:rsidRPr="003939A7">
        <w:rPr>
          <w:rFonts w:cs="CharisSIL"/>
        </w:rPr>
        <w:t>disorders: a systematic review and</w:t>
      </w:r>
      <w:r w:rsidRPr="003939A7">
        <w:rPr>
          <w:rFonts w:cs="CharisSIL"/>
        </w:rPr>
        <w:t xml:space="preserve"> </w:t>
      </w:r>
      <w:r w:rsidR="004000E1" w:rsidRPr="003939A7">
        <w:rPr>
          <w:rFonts w:cs="CharisSIL"/>
        </w:rPr>
        <w:t>meta-analysis 1980–2013</w:t>
      </w:r>
      <w:r w:rsidRPr="003939A7">
        <w:rPr>
          <w:rFonts w:cs="CharisSIL"/>
        </w:rPr>
        <w:t>. International Journal of Epidemiology</w:t>
      </w:r>
      <w:r w:rsidR="0049444A" w:rsidRPr="003939A7">
        <w:rPr>
          <w:rFonts w:cs="CharisSIL"/>
        </w:rPr>
        <w:t>,</w:t>
      </w:r>
      <w:r w:rsidRPr="003939A7">
        <w:rPr>
          <w:rFonts w:cs="CharisSIL"/>
        </w:rPr>
        <w:t xml:space="preserve"> 43(2), 476–493</w:t>
      </w:r>
      <w:r w:rsidR="00EC30A4" w:rsidRPr="003939A7">
        <w:rPr>
          <w:rFonts w:cs="CharisSIL"/>
        </w:rPr>
        <w:t>.</w:t>
      </w:r>
    </w:p>
    <w:p w14:paraId="34215148" w14:textId="075A66E2" w:rsidR="00B57511" w:rsidRPr="003939A7" w:rsidRDefault="00B57511" w:rsidP="001F7AA0">
      <w:pPr>
        <w:autoSpaceDE w:val="0"/>
        <w:autoSpaceDN w:val="0"/>
        <w:adjustRightInd w:val="0"/>
        <w:spacing w:after="0" w:line="360" w:lineRule="auto"/>
        <w:ind w:left="720" w:hanging="720"/>
        <w:jc w:val="both"/>
        <w:rPr>
          <w:rFonts w:cs="AdvPTimes"/>
          <w:color w:val="000000"/>
        </w:rPr>
      </w:pPr>
      <w:r w:rsidRPr="003939A7">
        <w:rPr>
          <w:rFonts w:cs="AdvPTimes"/>
          <w:color w:val="000000"/>
        </w:rPr>
        <w:t xml:space="preserve">Stewart-Brown, S., Tennant, A., Tennant, R., Platt, S., Parkinson, J., Weich, S., 2009. Internal construct validity of the Warwick-Edinburgh mental well-being scale (WEMWBS): A Rasch analysis using data from the Scottish Health Education Population Survey. </w:t>
      </w:r>
      <w:r w:rsidRPr="003939A7">
        <w:rPr>
          <w:rFonts w:cs="AdvPTimesI"/>
          <w:color w:val="000000"/>
        </w:rPr>
        <w:t>Health and Quality of Life Outcomes, 7</w:t>
      </w:r>
      <w:r w:rsidRPr="003939A7">
        <w:rPr>
          <w:rFonts w:cs="AdvPTimes"/>
          <w:color w:val="000000"/>
        </w:rPr>
        <w:t>(1), 15–22</w:t>
      </w:r>
      <w:r w:rsidR="00EC30A4" w:rsidRPr="003939A7">
        <w:rPr>
          <w:rFonts w:cs="AdvPTimes"/>
          <w:color w:val="000000"/>
        </w:rPr>
        <w:t>.</w:t>
      </w:r>
    </w:p>
    <w:p w14:paraId="491E34FA" w14:textId="77777777" w:rsidR="003939A7" w:rsidRPr="003939A7" w:rsidRDefault="003939A7" w:rsidP="003939A7">
      <w:pPr>
        <w:autoSpaceDE w:val="0"/>
        <w:autoSpaceDN w:val="0"/>
        <w:adjustRightInd w:val="0"/>
        <w:spacing w:after="0" w:line="360" w:lineRule="auto"/>
        <w:ind w:left="720" w:hanging="720"/>
        <w:jc w:val="both"/>
        <w:rPr>
          <w:rFonts w:cs="AdvPTimes"/>
          <w:color w:val="000000"/>
        </w:rPr>
      </w:pPr>
      <w:r w:rsidRPr="003939A7">
        <w:rPr>
          <w:rFonts w:cs="AdvPTimes"/>
          <w:color w:val="000000"/>
          <w:lang w:val="de-DE"/>
        </w:rPr>
        <w:t xml:space="preserve">Tennant, R., Hiller, L., Fishwick, R., Platt, S., Joseph, S., Weich, S., et al. 2007. </w:t>
      </w:r>
      <w:r w:rsidRPr="003939A7">
        <w:rPr>
          <w:rFonts w:cs="AdvPTimes"/>
          <w:color w:val="000000"/>
        </w:rPr>
        <w:t xml:space="preserve">The Warwick-Edinburgh mental well-being scale (WEMWBS): Development and UK validation. </w:t>
      </w:r>
      <w:r w:rsidRPr="003939A7">
        <w:rPr>
          <w:rFonts w:cs="AdvPTimesI"/>
          <w:color w:val="000000"/>
        </w:rPr>
        <w:t>Health and Quality of Life</w:t>
      </w:r>
      <w:r w:rsidRPr="003939A7">
        <w:rPr>
          <w:rFonts w:cs="AdvPTimes"/>
          <w:color w:val="000000"/>
        </w:rPr>
        <w:t xml:space="preserve"> </w:t>
      </w:r>
      <w:r w:rsidRPr="003939A7">
        <w:rPr>
          <w:rFonts w:cs="AdvPTimesI"/>
          <w:color w:val="000000"/>
        </w:rPr>
        <w:t>Outcomes, 5</w:t>
      </w:r>
      <w:r w:rsidRPr="003939A7">
        <w:rPr>
          <w:rFonts w:cs="AdvPTimes"/>
          <w:color w:val="000000"/>
        </w:rPr>
        <w:t xml:space="preserve">(1), 63–75. </w:t>
      </w:r>
    </w:p>
    <w:p w14:paraId="26E337F5" w14:textId="77777777" w:rsidR="003939A7" w:rsidRPr="003939A7" w:rsidRDefault="003939A7" w:rsidP="003939A7">
      <w:pPr>
        <w:autoSpaceDE w:val="0"/>
        <w:autoSpaceDN w:val="0"/>
        <w:adjustRightInd w:val="0"/>
        <w:spacing w:after="0" w:line="360" w:lineRule="auto"/>
        <w:ind w:left="720" w:hanging="720"/>
        <w:jc w:val="both"/>
        <w:rPr>
          <w:rFonts w:cs="AdvPTimes"/>
          <w:color w:val="000000"/>
        </w:rPr>
      </w:pPr>
      <w:r w:rsidRPr="003939A7">
        <w:rPr>
          <w:rFonts w:cs="AdvPTimes"/>
          <w:color w:val="000000"/>
        </w:rPr>
        <w:t>Time to Change, 2008. Stigma shout: service user and carer experiences of stigma and discrimination. London, Time to Change.</w:t>
      </w:r>
    </w:p>
    <w:p w14:paraId="75E68360" w14:textId="77777777" w:rsidR="003939A7" w:rsidRPr="003939A7" w:rsidRDefault="003939A7" w:rsidP="003939A7">
      <w:pPr>
        <w:autoSpaceDE w:val="0"/>
        <w:autoSpaceDN w:val="0"/>
        <w:adjustRightInd w:val="0"/>
        <w:spacing w:after="0" w:line="360" w:lineRule="auto"/>
        <w:ind w:left="720" w:hanging="720"/>
        <w:jc w:val="both"/>
        <w:rPr>
          <w:rFonts w:cs="AdvPTimes"/>
          <w:color w:val="000000"/>
        </w:rPr>
      </w:pPr>
      <w:r w:rsidRPr="003939A7">
        <w:rPr>
          <w:rFonts w:cs="AdvPTimes"/>
          <w:color w:val="000000"/>
        </w:rPr>
        <w:t>Todd, C., Camic, P., Lockyer, B., Thomson, L., Chatterjee, H., 2017. Museum-based programs for socially isolated older adults: Understanding what works. Health and Place 48; 47-55</w:t>
      </w:r>
    </w:p>
    <w:p w14:paraId="7D37F8CA" w14:textId="29AA9399" w:rsidR="00AC402E" w:rsidRPr="003939A7" w:rsidRDefault="00AC402E" w:rsidP="001F7AA0">
      <w:pPr>
        <w:autoSpaceDE w:val="0"/>
        <w:autoSpaceDN w:val="0"/>
        <w:adjustRightInd w:val="0"/>
        <w:spacing w:after="0" w:line="360" w:lineRule="auto"/>
        <w:ind w:left="720" w:hanging="720"/>
        <w:jc w:val="both"/>
        <w:rPr>
          <w:rFonts w:cs="AdvPTimes"/>
          <w:color w:val="000000"/>
        </w:rPr>
      </w:pPr>
      <w:r w:rsidRPr="003939A7">
        <w:rPr>
          <w:rFonts w:cs="AdvPTimes"/>
          <w:color w:val="000000"/>
        </w:rPr>
        <w:t xml:space="preserve">Todres, L., Galvin, K., 2010. </w:t>
      </w:r>
      <w:r w:rsidR="009E7767" w:rsidRPr="003939A7">
        <w:rPr>
          <w:rFonts w:cs="AdvPTimes"/>
          <w:color w:val="000000"/>
        </w:rPr>
        <w:t>“</w:t>
      </w:r>
      <w:r w:rsidRPr="003939A7">
        <w:rPr>
          <w:rFonts w:cs="AdvPTimes"/>
          <w:color w:val="000000"/>
        </w:rPr>
        <w:t>Dwelling-mobility</w:t>
      </w:r>
      <w:r w:rsidR="009E7767" w:rsidRPr="003939A7">
        <w:rPr>
          <w:rFonts w:cs="AdvPTimes"/>
          <w:color w:val="000000"/>
        </w:rPr>
        <w:t>”</w:t>
      </w:r>
      <w:r w:rsidRPr="003939A7">
        <w:rPr>
          <w:rFonts w:cs="AdvPTimes"/>
          <w:color w:val="000000"/>
        </w:rPr>
        <w:t>: An existential theory of well-being. International Journal of Qualitative Studies on Health &amp; Well-Being, 5(3)</w:t>
      </w:r>
      <w:r w:rsidR="007C005E" w:rsidRPr="003939A7">
        <w:rPr>
          <w:rFonts w:cs="AdvPTimes"/>
          <w:color w:val="000000"/>
        </w:rPr>
        <w:t>,</w:t>
      </w:r>
      <w:r w:rsidRPr="003939A7">
        <w:rPr>
          <w:rFonts w:cs="AdvPTimes"/>
          <w:color w:val="000000"/>
        </w:rPr>
        <w:t xml:space="preserve"> </w:t>
      </w:r>
      <w:r w:rsidR="00EC30A4" w:rsidRPr="003939A7">
        <w:rPr>
          <w:rFonts w:cs="AdvPTimes"/>
          <w:color w:val="000000"/>
        </w:rPr>
        <w:t>1–</w:t>
      </w:r>
      <w:r w:rsidRPr="003939A7">
        <w:rPr>
          <w:rFonts w:cs="AdvPTimes"/>
          <w:color w:val="000000"/>
        </w:rPr>
        <w:t>6</w:t>
      </w:r>
      <w:r w:rsidR="00EC30A4" w:rsidRPr="003939A7">
        <w:rPr>
          <w:rFonts w:cs="AdvPTimes"/>
          <w:color w:val="000000"/>
        </w:rPr>
        <w:t>.</w:t>
      </w:r>
      <w:r w:rsidRPr="003939A7">
        <w:rPr>
          <w:rFonts w:cs="AdvPTimes"/>
          <w:color w:val="000000"/>
        </w:rPr>
        <w:t xml:space="preserve"> </w:t>
      </w:r>
    </w:p>
    <w:p w14:paraId="48DAA179" w14:textId="21DE00A4" w:rsidR="00B34AAE" w:rsidRPr="003939A7" w:rsidRDefault="00B34AAE" w:rsidP="00B34AAE">
      <w:pPr>
        <w:autoSpaceDE w:val="0"/>
        <w:autoSpaceDN w:val="0"/>
        <w:adjustRightInd w:val="0"/>
        <w:spacing w:after="0" w:line="360" w:lineRule="auto"/>
        <w:ind w:left="720" w:hanging="720"/>
        <w:jc w:val="both"/>
        <w:rPr>
          <w:rFonts w:cs="AdvPTimes"/>
          <w:color w:val="000000"/>
        </w:rPr>
      </w:pPr>
      <w:r w:rsidRPr="003939A7">
        <w:rPr>
          <w:rFonts w:cs="AdvPTimes"/>
          <w:color w:val="000000"/>
        </w:rPr>
        <w:t xml:space="preserve">United Nation., 2015. Transforming our world: the 2030 Agenda for Sustainable Development. Available from: </w:t>
      </w:r>
      <w:hyperlink r:id="rId29" w:history="1">
        <w:r w:rsidRPr="003939A7">
          <w:rPr>
            <w:rStyle w:val="Hyperlink"/>
            <w:rFonts w:cs="AdvPTimes"/>
          </w:rPr>
          <w:t>https://sustainabledevelopment.un.org/post2015/transformingourworld</w:t>
        </w:r>
      </w:hyperlink>
      <w:r w:rsidRPr="003939A7">
        <w:rPr>
          <w:rFonts w:cs="AdvPTimes"/>
          <w:color w:val="000000"/>
        </w:rPr>
        <w:t xml:space="preserve"> [accessed 16.9.2019]</w:t>
      </w:r>
    </w:p>
    <w:p w14:paraId="67506214" w14:textId="31248B78" w:rsidR="004000E1" w:rsidRPr="003939A7" w:rsidRDefault="004000E1" w:rsidP="001F7AA0">
      <w:pPr>
        <w:autoSpaceDE w:val="0"/>
        <w:autoSpaceDN w:val="0"/>
        <w:adjustRightInd w:val="0"/>
        <w:spacing w:after="0" w:line="360" w:lineRule="auto"/>
        <w:ind w:left="720" w:hanging="720"/>
        <w:jc w:val="both"/>
        <w:rPr>
          <w:rFonts w:cs="CharisSIL"/>
        </w:rPr>
      </w:pPr>
      <w:r w:rsidRPr="003939A7">
        <w:rPr>
          <w:rFonts w:cs="CharisSIL"/>
        </w:rPr>
        <w:t>Vigo, D., Thornicroft,</w:t>
      </w:r>
      <w:r w:rsidR="009F7F19" w:rsidRPr="003939A7">
        <w:rPr>
          <w:rFonts w:cs="CharisSIL"/>
        </w:rPr>
        <w:t xml:space="preserve"> </w:t>
      </w:r>
      <w:r w:rsidRPr="003939A7">
        <w:rPr>
          <w:rFonts w:cs="CharisSIL"/>
        </w:rPr>
        <w:t>G., Atun, R., 2016. Estimating the true global burden of mental illness</w:t>
      </w:r>
      <w:r w:rsidRPr="003939A7">
        <w:t xml:space="preserve"> </w:t>
      </w:r>
      <w:r w:rsidRPr="003939A7">
        <w:rPr>
          <w:rFonts w:cs="CharisSIL"/>
        </w:rPr>
        <w:t>Lancet Psychiatry</w:t>
      </w:r>
      <w:r w:rsidR="0049444A" w:rsidRPr="003939A7">
        <w:rPr>
          <w:rFonts w:cs="CharisSIL"/>
        </w:rPr>
        <w:t>,</w:t>
      </w:r>
      <w:r w:rsidRPr="003939A7">
        <w:rPr>
          <w:rFonts w:cs="CharisSIL"/>
        </w:rPr>
        <w:t xml:space="preserve"> 3, 171–78</w:t>
      </w:r>
      <w:r w:rsidR="009F7F19" w:rsidRPr="003939A7">
        <w:rPr>
          <w:rFonts w:cs="CharisSIL"/>
        </w:rPr>
        <w:t>.</w:t>
      </w:r>
    </w:p>
    <w:p w14:paraId="7F519990" w14:textId="073FB75D" w:rsidR="000C4C77" w:rsidRPr="003939A7" w:rsidRDefault="000C4C77" w:rsidP="001F7AA0">
      <w:pPr>
        <w:autoSpaceDE w:val="0"/>
        <w:autoSpaceDN w:val="0"/>
        <w:adjustRightInd w:val="0"/>
        <w:spacing w:after="0" w:line="360" w:lineRule="auto"/>
        <w:ind w:left="720" w:hanging="720"/>
        <w:jc w:val="both"/>
        <w:rPr>
          <w:rFonts w:cs="CharisSIL"/>
        </w:rPr>
      </w:pPr>
      <w:r w:rsidRPr="003939A7">
        <w:rPr>
          <w:rFonts w:cs="CharisSIL"/>
        </w:rPr>
        <w:t>Waterloo Uncovered, 2018. Waterloo Uncovered: Home</w:t>
      </w:r>
      <w:r w:rsidR="00F270A7" w:rsidRPr="003939A7">
        <w:rPr>
          <w:rFonts w:cs="CharisSIL"/>
        </w:rPr>
        <w:t xml:space="preserve">. Available from </w:t>
      </w:r>
      <w:hyperlink r:id="rId30" w:history="1">
        <w:r w:rsidR="00F270A7" w:rsidRPr="003939A7">
          <w:rPr>
            <w:rStyle w:val="Hyperlink"/>
            <w:rFonts w:cs="CharisSIL"/>
          </w:rPr>
          <w:t>http://www.waterloouncovered.com/</w:t>
        </w:r>
      </w:hyperlink>
      <w:r w:rsidR="00F270A7" w:rsidRPr="003939A7">
        <w:rPr>
          <w:rFonts w:cs="CharisSIL"/>
        </w:rPr>
        <w:t xml:space="preserve"> [accessed 26.9.2019]</w:t>
      </w:r>
      <w:r w:rsidRPr="003939A7">
        <w:rPr>
          <w:rFonts w:cs="CharisSIL"/>
        </w:rPr>
        <w:t>.</w:t>
      </w:r>
    </w:p>
    <w:p w14:paraId="6E3AFE76" w14:textId="5F463882" w:rsidR="00E7745D" w:rsidRPr="003939A7" w:rsidRDefault="00867201" w:rsidP="001F7AA0">
      <w:pPr>
        <w:autoSpaceDE w:val="0"/>
        <w:autoSpaceDN w:val="0"/>
        <w:adjustRightInd w:val="0"/>
        <w:spacing w:after="0" w:line="360" w:lineRule="auto"/>
        <w:ind w:left="720" w:hanging="720"/>
        <w:jc w:val="both"/>
        <w:rPr>
          <w:rFonts w:cs="CharisSIL"/>
        </w:rPr>
      </w:pPr>
      <w:r w:rsidRPr="003939A7">
        <w:rPr>
          <w:rFonts w:cs="CharisSIL"/>
        </w:rPr>
        <w:t xml:space="preserve">William, W., </w:t>
      </w:r>
      <w:r w:rsidR="00AD4D4D" w:rsidRPr="003939A7">
        <w:rPr>
          <w:rFonts w:cs="CharisSIL"/>
        </w:rPr>
        <w:t>1993. Recovery from mental illness: The guiding vision of the Mental Health Service system in the 1990s. Rehabilitation Journal, 16(4), 11–23.</w:t>
      </w:r>
      <w:r w:rsidR="00AD4D4D" w:rsidRPr="003939A7">
        <w:rPr>
          <w:rFonts w:cs="CharisSIL"/>
        </w:rPr>
        <w:cr/>
      </w:r>
      <w:r w:rsidR="009F7F19" w:rsidRPr="003939A7">
        <w:rPr>
          <w:rFonts w:cs="CharisSIL"/>
        </w:rPr>
        <w:t>Williams, A. (E</w:t>
      </w:r>
      <w:r w:rsidR="00E7745D" w:rsidRPr="003939A7">
        <w:rPr>
          <w:rFonts w:cs="CharisSIL"/>
        </w:rPr>
        <w:t>d</w:t>
      </w:r>
      <w:r w:rsidR="009F7F19" w:rsidRPr="003939A7">
        <w:rPr>
          <w:rFonts w:cs="CharisSIL"/>
        </w:rPr>
        <w:t>.</w:t>
      </w:r>
      <w:r w:rsidR="00E7745D" w:rsidRPr="003939A7">
        <w:rPr>
          <w:rFonts w:cs="CharisSIL"/>
        </w:rPr>
        <w:t>), Therapeutic landscapes. London</w:t>
      </w:r>
      <w:r w:rsidR="009F7F19" w:rsidRPr="003939A7">
        <w:rPr>
          <w:rFonts w:cs="CharisSIL"/>
        </w:rPr>
        <w:t>,</w:t>
      </w:r>
      <w:r w:rsidR="00E7745D" w:rsidRPr="003939A7">
        <w:rPr>
          <w:rFonts w:cs="CharisSIL"/>
        </w:rPr>
        <w:t xml:space="preserve"> Ashgate</w:t>
      </w:r>
      <w:r w:rsidR="009F7F19" w:rsidRPr="003939A7">
        <w:rPr>
          <w:rFonts w:cs="CharisSIL"/>
        </w:rPr>
        <w:t>.</w:t>
      </w:r>
    </w:p>
    <w:p w14:paraId="11CF8D7C" w14:textId="5783E1FD" w:rsidR="00876312" w:rsidRPr="003939A7" w:rsidRDefault="00876312" w:rsidP="001F7AA0">
      <w:pPr>
        <w:autoSpaceDE w:val="0"/>
        <w:autoSpaceDN w:val="0"/>
        <w:adjustRightInd w:val="0"/>
        <w:spacing w:after="0" w:line="360" w:lineRule="auto"/>
        <w:ind w:left="720" w:hanging="720"/>
        <w:jc w:val="both"/>
        <w:rPr>
          <w:rFonts w:cs="CharisSIL"/>
        </w:rPr>
      </w:pPr>
      <w:r w:rsidRPr="003939A7">
        <w:rPr>
          <w:rFonts w:cs="CharisSIL"/>
        </w:rPr>
        <w:t>World Health Organi</w:t>
      </w:r>
      <w:r w:rsidR="00FB5B3D" w:rsidRPr="003939A7">
        <w:rPr>
          <w:rFonts w:cs="CharisSIL"/>
        </w:rPr>
        <w:t>z</w:t>
      </w:r>
      <w:r w:rsidR="009F7F19" w:rsidRPr="003939A7">
        <w:rPr>
          <w:rFonts w:cs="CharisSIL"/>
        </w:rPr>
        <w:t>ation</w:t>
      </w:r>
      <w:r w:rsidRPr="003939A7">
        <w:rPr>
          <w:rFonts w:cs="CharisSIL"/>
        </w:rPr>
        <w:t xml:space="preserve">, 2014. Mental health: a state of well-being, available from: </w:t>
      </w:r>
      <w:hyperlink r:id="rId31" w:history="1">
        <w:r w:rsidRPr="003939A7">
          <w:rPr>
            <w:rStyle w:val="Hyperlink"/>
            <w:rFonts w:cs="CharisSIL"/>
          </w:rPr>
          <w:t>http://www.who.int/features/factfiles/mental_health/en/</w:t>
        </w:r>
      </w:hyperlink>
      <w:r w:rsidRPr="003939A7">
        <w:rPr>
          <w:rFonts w:cs="CharisSIL"/>
        </w:rPr>
        <w:t xml:space="preserve"> [accessed 1.10.18]</w:t>
      </w:r>
      <w:r w:rsidR="009F7F19" w:rsidRPr="003939A7">
        <w:rPr>
          <w:rFonts w:cs="CharisSIL"/>
        </w:rPr>
        <w:t>.</w:t>
      </w:r>
    </w:p>
    <w:p w14:paraId="627376F5" w14:textId="28AF78EE" w:rsidR="00DD14D2" w:rsidRPr="003939A7" w:rsidRDefault="00DD14D2" w:rsidP="001F7AA0">
      <w:pPr>
        <w:spacing w:after="0" w:line="360" w:lineRule="auto"/>
        <w:ind w:left="720" w:hanging="720"/>
        <w:jc w:val="both"/>
      </w:pPr>
      <w:r w:rsidRPr="003939A7">
        <w:t>World Health Organi</w:t>
      </w:r>
      <w:r w:rsidR="00FB5B3D" w:rsidRPr="003939A7">
        <w:t>z</w:t>
      </w:r>
      <w:r w:rsidR="009F7F19" w:rsidRPr="003939A7">
        <w:t>ation</w:t>
      </w:r>
      <w:r w:rsidRPr="003939A7">
        <w:t>, 2013.</w:t>
      </w:r>
      <w:r w:rsidR="009F7F19" w:rsidRPr="003939A7">
        <w:t xml:space="preserve"> Mental Health Action plan 2013–</w:t>
      </w:r>
      <w:r w:rsidRPr="003939A7">
        <w:t xml:space="preserve">2020, available from </w:t>
      </w:r>
      <w:hyperlink r:id="rId32" w:history="1">
        <w:r w:rsidRPr="003939A7">
          <w:rPr>
            <w:rStyle w:val="Hyperlink"/>
          </w:rPr>
          <w:t>http://apps.who.int/iris/bitstream/handle/10665/89966/9789241506021_eng.pdf;jsessionid=0C51601F3EACE1D94BC8CE6920D30E45?sequence=1</w:t>
        </w:r>
      </w:hyperlink>
      <w:r w:rsidRPr="003939A7">
        <w:t xml:space="preserve"> [accessed 1.10.18]</w:t>
      </w:r>
      <w:r w:rsidR="009F7F19" w:rsidRPr="003939A7">
        <w:t>.</w:t>
      </w:r>
    </w:p>
    <w:p w14:paraId="02A77597" w14:textId="31354F9C" w:rsidR="00EB4767" w:rsidRDefault="00EB4767" w:rsidP="00EB4767">
      <w:pPr>
        <w:spacing w:after="0" w:line="360" w:lineRule="auto"/>
        <w:ind w:left="720" w:hanging="720"/>
        <w:jc w:val="both"/>
      </w:pPr>
      <w:r w:rsidRPr="003939A7">
        <w:lastRenderedPageBreak/>
        <w:t>Wu, Y-T., Prina, A</w:t>
      </w:r>
      <w:r w:rsidR="009F7F19" w:rsidRPr="003939A7">
        <w:t>.</w:t>
      </w:r>
      <w:r w:rsidRPr="003939A7">
        <w:t>M., Jones. A., Matthews, F., Brayne, C., 2015. Older people, the natural environment and common mental disorders: cross-sectional results from the Cognitive Function and Ageing Study. BMJ Open 5:e007936. doi:10.1136/bmjopen-2015-007936</w:t>
      </w:r>
      <w:r w:rsidR="009F7F19" w:rsidRPr="003939A7">
        <w:t>.</w:t>
      </w:r>
    </w:p>
    <w:p w14:paraId="380946A1" w14:textId="77777777" w:rsidR="00CB7EE0" w:rsidRPr="004F09A0" w:rsidRDefault="00CB7EE0" w:rsidP="00876312">
      <w:pPr>
        <w:spacing w:after="0" w:line="360" w:lineRule="auto"/>
        <w:jc w:val="both"/>
        <w:rPr>
          <w:rFonts w:cs="Arial"/>
        </w:rPr>
      </w:pPr>
    </w:p>
    <w:sectPr w:rsidR="00CB7EE0" w:rsidRPr="004F0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55C3" w14:textId="77777777" w:rsidR="00C26EE9" w:rsidRDefault="00C26EE9" w:rsidP="000B265C">
      <w:pPr>
        <w:spacing w:after="0" w:line="240" w:lineRule="auto"/>
      </w:pPr>
      <w:r>
        <w:separator/>
      </w:r>
    </w:p>
  </w:endnote>
  <w:endnote w:type="continuationSeparator" w:id="0">
    <w:p w14:paraId="2E4F9BCB" w14:textId="77777777" w:rsidR="00C26EE9" w:rsidRDefault="00C26EE9" w:rsidP="000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harisSIL">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741"/>
      <w:docPartObj>
        <w:docPartGallery w:val="Page Numbers (Bottom of Page)"/>
        <w:docPartUnique/>
      </w:docPartObj>
    </w:sdtPr>
    <w:sdtEndPr>
      <w:rPr>
        <w:color w:val="808080" w:themeColor="background1" w:themeShade="80"/>
        <w:spacing w:val="60"/>
      </w:rPr>
    </w:sdtEndPr>
    <w:sdtContent>
      <w:p w14:paraId="66AE4593" w14:textId="77777777" w:rsidR="00C26EE9" w:rsidRDefault="00C26E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39A7">
          <w:rPr>
            <w:noProof/>
          </w:rPr>
          <w:t>23</w:t>
        </w:r>
        <w:r>
          <w:rPr>
            <w:noProof/>
          </w:rPr>
          <w:fldChar w:fldCharType="end"/>
        </w:r>
        <w:r>
          <w:t xml:space="preserve"> | </w:t>
        </w:r>
        <w:r>
          <w:rPr>
            <w:color w:val="808080" w:themeColor="background1" w:themeShade="80"/>
            <w:spacing w:val="60"/>
          </w:rPr>
          <w:t>Page</w:t>
        </w:r>
      </w:p>
    </w:sdtContent>
  </w:sdt>
  <w:p w14:paraId="46B01409" w14:textId="77777777" w:rsidR="00C26EE9" w:rsidRDefault="00C26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D0E4" w14:textId="77777777" w:rsidR="00C26EE9" w:rsidRDefault="00C26EE9" w:rsidP="000B265C">
      <w:pPr>
        <w:spacing w:after="0" w:line="240" w:lineRule="auto"/>
      </w:pPr>
      <w:r>
        <w:separator/>
      </w:r>
    </w:p>
  </w:footnote>
  <w:footnote w:type="continuationSeparator" w:id="0">
    <w:p w14:paraId="3F54E612" w14:textId="77777777" w:rsidR="00C26EE9" w:rsidRDefault="00C26EE9" w:rsidP="000B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1C3"/>
    <w:multiLevelType w:val="hybridMultilevel"/>
    <w:tmpl w:val="300A3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013B"/>
    <w:multiLevelType w:val="hybridMultilevel"/>
    <w:tmpl w:val="ED84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D168F"/>
    <w:multiLevelType w:val="hybridMultilevel"/>
    <w:tmpl w:val="6AA6B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934E7"/>
    <w:multiLevelType w:val="hybridMultilevel"/>
    <w:tmpl w:val="9F949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F87560"/>
    <w:multiLevelType w:val="hybridMultilevel"/>
    <w:tmpl w:val="73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E3435"/>
    <w:multiLevelType w:val="hybridMultilevel"/>
    <w:tmpl w:val="F970C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9434A4"/>
    <w:multiLevelType w:val="multilevel"/>
    <w:tmpl w:val="73D6542C"/>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4B0C6E"/>
    <w:multiLevelType w:val="hybridMultilevel"/>
    <w:tmpl w:val="6644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767F7B"/>
    <w:multiLevelType w:val="multilevel"/>
    <w:tmpl w:val="FE9AE9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922661E"/>
    <w:multiLevelType w:val="hybridMultilevel"/>
    <w:tmpl w:val="B728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200506"/>
    <w:multiLevelType w:val="hybridMultilevel"/>
    <w:tmpl w:val="6330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BB2F1D"/>
    <w:multiLevelType w:val="hybridMultilevel"/>
    <w:tmpl w:val="61EE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EF1175"/>
    <w:multiLevelType w:val="hybridMultilevel"/>
    <w:tmpl w:val="D60A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12BD"/>
    <w:multiLevelType w:val="hybridMultilevel"/>
    <w:tmpl w:val="43B2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D9219A"/>
    <w:multiLevelType w:val="hybridMultilevel"/>
    <w:tmpl w:val="F9C6A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0"/>
  </w:num>
  <w:num w:numId="5">
    <w:abstractNumId w:val="2"/>
  </w:num>
  <w:num w:numId="6">
    <w:abstractNumId w:val="3"/>
  </w:num>
  <w:num w:numId="7">
    <w:abstractNumId w:val="14"/>
  </w:num>
  <w:num w:numId="8">
    <w:abstractNumId w:val="8"/>
  </w:num>
  <w:num w:numId="9">
    <w:abstractNumId w:val="13"/>
  </w:num>
  <w:num w:numId="10">
    <w:abstractNumId w:val="4"/>
  </w:num>
  <w:num w:numId="11">
    <w:abstractNumId w:val="10"/>
  </w:num>
  <w:num w:numId="12">
    <w:abstractNumId w:val="9"/>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EC"/>
    <w:rsid w:val="00001814"/>
    <w:rsid w:val="00003AF8"/>
    <w:rsid w:val="000040BB"/>
    <w:rsid w:val="000040FE"/>
    <w:rsid w:val="000041E2"/>
    <w:rsid w:val="0000467E"/>
    <w:rsid w:val="000048DD"/>
    <w:rsid w:val="000057AF"/>
    <w:rsid w:val="0000735F"/>
    <w:rsid w:val="00007AA8"/>
    <w:rsid w:val="00012557"/>
    <w:rsid w:val="00014589"/>
    <w:rsid w:val="00014C46"/>
    <w:rsid w:val="00015759"/>
    <w:rsid w:val="0001584D"/>
    <w:rsid w:val="00017D3D"/>
    <w:rsid w:val="000200A8"/>
    <w:rsid w:val="00020367"/>
    <w:rsid w:val="00020643"/>
    <w:rsid w:val="00021CEC"/>
    <w:rsid w:val="00021EE3"/>
    <w:rsid w:val="0002316C"/>
    <w:rsid w:val="00024285"/>
    <w:rsid w:val="00024CA4"/>
    <w:rsid w:val="000262ED"/>
    <w:rsid w:val="000268BB"/>
    <w:rsid w:val="00026FD2"/>
    <w:rsid w:val="0003169C"/>
    <w:rsid w:val="000322F4"/>
    <w:rsid w:val="00033352"/>
    <w:rsid w:val="0003499B"/>
    <w:rsid w:val="00036505"/>
    <w:rsid w:val="00040B07"/>
    <w:rsid w:val="0004106B"/>
    <w:rsid w:val="0004223A"/>
    <w:rsid w:val="00042C86"/>
    <w:rsid w:val="00043E46"/>
    <w:rsid w:val="00044628"/>
    <w:rsid w:val="00044ABA"/>
    <w:rsid w:val="00045A62"/>
    <w:rsid w:val="000463AA"/>
    <w:rsid w:val="00046EA2"/>
    <w:rsid w:val="00047421"/>
    <w:rsid w:val="00050B7C"/>
    <w:rsid w:val="0005235B"/>
    <w:rsid w:val="00052759"/>
    <w:rsid w:val="00052F25"/>
    <w:rsid w:val="00054237"/>
    <w:rsid w:val="00055161"/>
    <w:rsid w:val="00056B7B"/>
    <w:rsid w:val="00060EA7"/>
    <w:rsid w:val="00061466"/>
    <w:rsid w:val="0006148F"/>
    <w:rsid w:val="00062A21"/>
    <w:rsid w:val="00063A53"/>
    <w:rsid w:val="000661AC"/>
    <w:rsid w:val="00066407"/>
    <w:rsid w:val="000672D8"/>
    <w:rsid w:val="000677D1"/>
    <w:rsid w:val="0007046C"/>
    <w:rsid w:val="00072279"/>
    <w:rsid w:val="00073B57"/>
    <w:rsid w:val="00073B5A"/>
    <w:rsid w:val="00075212"/>
    <w:rsid w:val="00075AB6"/>
    <w:rsid w:val="00075F83"/>
    <w:rsid w:val="00081448"/>
    <w:rsid w:val="00081ED2"/>
    <w:rsid w:val="000824C4"/>
    <w:rsid w:val="000847EF"/>
    <w:rsid w:val="00085AFC"/>
    <w:rsid w:val="0008646F"/>
    <w:rsid w:val="000877CD"/>
    <w:rsid w:val="0008793C"/>
    <w:rsid w:val="000905E3"/>
    <w:rsid w:val="00092841"/>
    <w:rsid w:val="0009439A"/>
    <w:rsid w:val="000949B7"/>
    <w:rsid w:val="00094BEF"/>
    <w:rsid w:val="00096268"/>
    <w:rsid w:val="00096E94"/>
    <w:rsid w:val="000A1980"/>
    <w:rsid w:val="000A3533"/>
    <w:rsid w:val="000A36A7"/>
    <w:rsid w:val="000A443E"/>
    <w:rsid w:val="000A4F4B"/>
    <w:rsid w:val="000A5558"/>
    <w:rsid w:val="000A5BF0"/>
    <w:rsid w:val="000A6CA6"/>
    <w:rsid w:val="000A73BA"/>
    <w:rsid w:val="000A77D7"/>
    <w:rsid w:val="000B24AB"/>
    <w:rsid w:val="000B265C"/>
    <w:rsid w:val="000B666D"/>
    <w:rsid w:val="000B712D"/>
    <w:rsid w:val="000C0433"/>
    <w:rsid w:val="000C1F63"/>
    <w:rsid w:val="000C3181"/>
    <w:rsid w:val="000C3740"/>
    <w:rsid w:val="000C4C77"/>
    <w:rsid w:val="000C4D5D"/>
    <w:rsid w:val="000D112D"/>
    <w:rsid w:val="000D1C31"/>
    <w:rsid w:val="000D3B40"/>
    <w:rsid w:val="000D4A12"/>
    <w:rsid w:val="000D56C1"/>
    <w:rsid w:val="000D60DB"/>
    <w:rsid w:val="000D6BFD"/>
    <w:rsid w:val="000D6E9C"/>
    <w:rsid w:val="000D6ED0"/>
    <w:rsid w:val="000D7562"/>
    <w:rsid w:val="000D7F23"/>
    <w:rsid w:val="000E2CF0"/>
    <w:rsid w:val="000E3985"/>
    <w:rsid w:val="000E3ACE"/>
    <w:rsid w:val="000E64B6"/>
    <w:rsid w:val="000E79EF"/>
    <w:rsid w:val="000F18D3"/>
    <w:rsid w:val="000F1F4D"/>
    <w:rsid w:val="000F2B62"/>
    <w:rsid w:val="000F37C3"/>
    <w:rsid w:val="000F538A"/>
    <w:rsid w:val="000F5D3E"/>
    <w:rsid w:val="000F72D6"/>
    <w:rsid w:val="000F7628"/>
    <w:rsid w:val="00100F23"/>
    <w:rsid w:val="001013D1"/>
    <w:rsid w:val="001025AC"/>
    <w:rsid w:val="00104226"/>
    <w:rsid w:val="00106C8C"/>
    <w:rsid w:val="00107167"/>
    <w:rsid w:val="00107F17"/>
    <w:rsid w:val="00107FA3"/>
    <w:rsid w:val="001127AC"/>
    <w:rsid w:val="00112910"/>
    <w:rsid w:val="00113BA7"/>
    <w:rsid w:val="00117569"/>
    <w:rsid w:val="00122108"/>
    <w:rsid w:val="0012302C"/>
    <w:rsid w:val="0012332C"/>
    <w:rsid w:val="001274B3"/>
    <w:rsid w:val="00132B08"/>
    <w:rsid w:val="00132BD0"/>
    <w:rsid w:val="0013398E"/>
    <w:rsid w:val="0013502F"/>
    <w:rsid w:val="00135619"/>
    <w:rsid w:val="0013565E"/>
    <w:rsid w:val="00136019"/>
    <w:rsid w:val="00137B09"/>
    <w:rsid w:val="00140BAF"/>
    <w:rsid w:val="001425E3"/>
    <w:rsid w:val="00143170"/>
    <w:rsid w:val="0014431D"/>
    <w:rsid w:val="00144823"/>
    <w:rsid w:val="00146003"/>
    <w:rsid w:val="00146E0D"/>
    <w:rsid w:val="00151894"/>
    <w:rsid w:val="00151FBA"/>
    <w:rsid w:val="00153CB9"/>
    <w:rsid w:val="00154BBB"/>
    <w:rsid w:val="0015578C"/>
    <w:rsid w:val="00156416"/>
    <w:rsid w:val="00156E44"/>
    <w:rsid w:val="00160347"/>
    <w:rsid w:val="001603E0"/>
    <w:rsid w:val="00160E69"/>
    <w:rsid w:val="0016145C"/>
    <w:rsid w:val="00163C3B"/>
    <w:rsid w:val="00163D94"/>
    <w:rsid w:val="0016435A"/>
    <w:rsid w:val="00167099"/>
    <w:rsid w:val="001671F1"/>
    <w:rsid w:val="001672E7"/>
    <w:rsid w:val="00167CEF"/>
    <w:rsid w:val="0017151B"/>
    <w:rsid w:val="0017271D"/>
    <w:rsid w:val="00172C22"/>
    <w:rsid w:val="00174D08"/>
    <w:rsid w:val="0017725B"/>
    <w:rsid w:val="00177ED1"/>
    <w:rsid w:val="00181E54"/>
    <w:rsid w:val="00181FF9"/>
    <w:rsid w:val="001821B3"/>
    <w:rsid w:val="00184D73"/>
    <w:rsid w:val="00185355"/>
    <w:rsid w:val="0018698A"/>
    <w:rsid w:val="00190483"/>
    <w:rsid w:val="00190510"/>
    <w:rsid w:val="00190CB6"/>
    <w:rsid w:val="001918BC"/>
    <w:rsid w:val="001922FE"/>
    <w:rsid w:val="00192EAC"/>
    <w:rsid w:val="001939C4"/>
    <w:rsid w:val="00193A7B"/>
    <w:rsid w:val="00194BBE"/>
    <w:rsid w:val="001956C5"/>
    <w:rsid w:val="001976C4"/>
    <w:rsid w:val="00197C8B"/>
    <w:rsid w:val="001A0308"/>
    <w:rsid w:val="001A0840"/>
    <w:rsid w:val="001A1951"/>
    <w:rsid w:val="001A1F7A"/>
    <w:rsid w:val="001A3B4A"/>
    <w:rsid w:val="001A57BE"/>
    <w:rsid w:val="001A5941"/>
    <w:rsid w:val="001A6310"/>
    <w:rsid w:val="001B2308"/>
    <w:rsid w:val="001B2EC0"/>
    <w:rsid w:val="001B33C9"/>
    <w:rsid w:val="001B4557"/>
    <w:rsid w:val="001B6EC0"/>
    <w:rsid w:val="001B7C0C"/>
    <w:rsid w:val="001C23BB"/>
    <w:rsid w:val="001C2E2A"/>
    <w:rsid w:val="001C4239"/>
    <w:rsid w:val="001C6C04"/>
    <w:rsid w:val="001C788A"/>
    <w:rsid w:val="001D0A32"/>
    <w:rsid w:val="001D37AD"/>
    <w:rsid w:val="001D57B2"/>
    <w:rsid w:val="001D5902"/>
    <w:rsid w:val="001D5FAA"/>
    <w:rsid w:val="001D62C7"/>
    <w:rsid w:val="001D779D"/>
    <w:rsid w:val="001E1FED"/>
    <w:rsid w:val="001E3252"/>
    <w:rsid w:val="001E4E7F"/>
    <w:rsid w:val="001E559E"/>
    <w:rsid w:val="001E5DC5"/>
    <w:rsid w:val="001E6E1D"/>
    <w:rsid w:val="001F01E9"/>
    <w:rsid w:val="001F180A"/>
    <w:rsid w:val="001F1863"/>
    <w:rsid w:val="001F2197"/>
    <w:rsid w:val="001F326B"/>
    <w:rsid w:val="001F3345"/>
    <w:rsid w:val="001F4713"/>
    <w:rsid w:val="001F7AA0"/>
    <w:rsid w:val="00200022"/>
    <w:rsid w:val="0020011B"/>
    <w:rsid w:val="00200383"/>
    <w:rsid w:val="00200572"/>
    <w:rsid w:val="00201AE7"/>
    <w:rsid w:val="00202CEC"/>
    <w:rsid w:val="00204290"/>
    <w:rsid w:val="0020649F"/>
    <w:rsid w:val="002071C0"/>
    <w:rsid w:val="002105A2"/>
    <w:rsid w:val="002106A1"/>
    <w:rsid w:val="002110DA"/>
    <w:rsid w:val="00211393"/>
    <w:rsid w:val="00212300"/>
    <w:rsid w:val="00214DFA"/>
    <w:rsid w:val="00215AC4"/>
    <w:rsid w:val="002211C6"/>
    <w:rsid w:val="00221385"/>
    <w:rsid w:val="00223523"/>
    <w:rsid w:val="00226502"/>
    <w:rsid w:val="0022672E"/>
    <w:rsid w:val="002269F0"/>
    <w:rsid w:val="0023471A"/>
    <w:rsid w:val="002348E0"/>
    <w:rsid w:val="002358D6"/>
    <w:rsid w:val="00236E2F"/>
    <w:rsid w:val="00237624"/>
    <w:rsid w:val="00237991"/>
    <w:rsid w:val="00237E97"/>
    <w:rsid w:val="0024005F"/>
    <w:rsid w:val="00242298"/>
    <w:rsid w:val="00242B4E"/>
    <w:rsid w:val="00243058"/>
    <w:rsid w:val="00244B7D"/>
    <w:rsid w:val="002527ED"/>
    <w:rsid w:val="002550E3"/>
    <w:rsid w:val="0025765E"/>
    <w:rsid w:val="00257838"/>
    <w:rsid w:val="0025793C"/>
    <w:rsid w:val="00262FBB"/>
    <w:rsid w:val="00263D5A"/>
    <w:rsid w:val="002647C8"/>
    <w:rsid w:val="002729EB"/>
    <w:rsid w:val="00273076"/>
    <w:rsid w:val="00275A92"/>
    <w:rsid w:val="00276D69"/>
    <w:rsid w:val="00276DC3"/>
    <w:rsid w:val="00280B61"/>
    <w:rsid w:val="00281179"/>
    <w:rsid w:val="002842DB"/>
    <w:rsid w:val="00284C55"/>
    <w:rsid w:val="00285465"/>
    <w:rsid w:val="0028611D"/>
    <w:rsid w:val="00286734"/>
    <w:rsid w:val="00291298"/>
    <w:rsid w:val="00291595"/>
    <w:rsid w:val="00291EE7"/>
    <w:rsid w:val="00292B65"/>
    <w:rsid w:val="00294484"/>
    <w:rsid w:val="002970FC"/>
    <w:rsid w:val="002A06E6"/>
    <w:rsid w:val="002A1B44"/>
    <w:rsid w:val="002A2527"/>
    <w:rsid w:val="002A36AE"/>
    <w:rsid w:val="002A500E"/>
    <w:rsid w:val="002A60BE"/>
    <w:rsid w:val="002A720B"/>
    <w:rsid w:val="002A72AB"/>
    <w:rsid w:val="002A72AD"/>
    <w:rsid w:val="002B14C9"/>
    <w:rsid w:val="002B42F4"/>
    <w:rsid w:val="002B5BCD"/>
    <w:rsid w:val="002B66AA"/>
    <w:rsid w:val="002C16BF"/>
    <w:rsid w:val="002C25C2"/>
    <w:rsid w:val="002C2D87"/>
    <w:rsid w:val="002C6056"/>
    <w:rsid w:val="002C67AA"/>
    <w:rsid w:val="002C6C1B"/>
    <w:rsid w:val="002C74A4"/>
    <w:rsid w:val="002C7F35"/>
    <w:rsid w:val="002D1734"/>
    <w:rsid w:val="002D239F"/>
    <w:rsid w:val="002D7E55"/>
    <w:rsid w:val="002E0D07"/>
    <w:rsid w:val="002E1F81"/>
    <w:rsid w:val="002E3A57"/>
    <w:rsid w:val="002E3F0F"/>
    <w:rsid w:val="002E3FA0"/>
    <w:rsid w:val="002E5626"/>
    <w:rsid w:val="002E5D84"/>
    <w:rsid w:val="002E632F"/>
    <w:rsid w:val="002F0BD2"/>
    <w:rsid w:val="002F0D62"/>
    <w:rsid w:val="002F2CCB"/>
    <w:rsid w:val="002F58A9"/>
    <w:rsid w:val="002F5BB1"/>
    <w:rsid w:val="002F5EA8"/>
    <w:rsid w:val="002F66B9"/>
    <w:rsid w:val="002F721C"/>
    <w:rsid w:val="00301FA8"/>
    <w:rsid w:val="00303420"/>
    <w:rsid w:val="00304CFE"/>
    <w:rsid w:val="00310553"/>
    <w:rsid w:val="00311553"/>
    <w:rsid w:val="00311870"/>
    <w:rsid w:val="00312CCF"/>
    <w:rsid w:val="00314C1A"/>
    <w:rsid w:val="00315448"/>
    <w:rsid w:val="003157AD"/>
    <w:rsid w:val="00315956"/>
    <w:rsid w:val="00316495"/>
    <w:rsid w:val="00316FD3"/>
    <w:rsid w:val="003208DD"/>
    <w:rsid w:val="00321168"/>
    <w:rsid w:val="00323E26"/>
    <w:rsid w:val="0032597F"/>
    <w:rsid w:val="00325B5B"/>
    <w:rsid w:val="00326712"/>
    <w:rsid w:val="003267F8"/>
    <w:rsid w:val="00327EB0"/>
    <w:rsid w:val="00331037"/>
    <w:rsid w:val="003311F2"/>
    <w:rsid w:val="00333A2B"/>
    <w:rsid w:val="003355B9"/>
    <w:rsid w:val="00335AD8"/>
    <w:rsid w:val="003368F0"/>
    <w:rsid w:val="00337D74"/>
    <w:rsid w:val="00340845"/>
    <w:rsid w:val="00342E61"/>
    <w:rsid w:val="00343F39"/>
    <w:rsid w:val="00344234"/>
    <w:rsid w:val="003459A5"/>
    <w:rsid w:val="003460F3"/>
    <w:rsid w:val="003521BC"/>
    <w:rsid w:val="003522EB"/>
    <w:rsid w:val="00352324"/>
    <w:rsid w:val="00352BDE"/>
    <w:rsid w:val="00353099"/>
    <w:rsid w:val="00353608"/>
    <w:rsid w:val="00353C43"/>
    <w:rsid w:val="003550D4"/>
    <w:rsid w:val="00355DD4"/>
    <w:rsid w:val="003564A4"/>
    <w:rsid w:val="003564C5"/>
    <w:rsid w:val="0035711C"/>
    <w:rsid w:val="00357B83"/>
    <w:rsid w:val="0036115E"/>
    <w:rsid w:val="0036155F"/>
    <w:rsid w:val="00363B64"/>
    <w:rsid w:val="003706B6"/>
    <w:rsid w:val="00372886"/>
    <w:rsid w:val="003730EE"/>
    <w:rsid w:val="003769AC"/>
    <w:rsid w:val="00376D93"/>
    <w:rsid w:val="00377533"/>
    <w:rsid w:val="00381A00"/>
    <w:rsid w:val="00381C49"/>
    <w:rsid w:val="00381CF0"/>
    <w:rsid w:val="00383928"/>
    <w:rsid w:val="00383DDB"/>
    <w:rsid w:val="0038472E"/>
    <w:rsid w:val="00384983"/>
    <w:rsid w:val="003855E8"/>
    <w:rsid w:val="00386BD4"/>
    <w:rsid w:val="00387119"/>
    <w:rsid w:val="003906C7"/>
    <w:rsid w:val="003909A9"/>
    <w:rsid w:val="003939A7"/>
    <w:rsid w:val="0039471D"/>
    <w:rsid w:val="00395DAE"/>
    <w:rsid w:val="003979FF"/>
    <w:rsid w:val="003A174F"/>
    <w:rsid w:val="003A1D1B"/>
    <w:rsid w:val="003A2FDC"/>
    <w:rsid w:val="003A3C4D"/>
    <w:rsid w:val="003A66A9"/>
    <w:rsid w:val="003A7C1D"/>
    <w:rsid w:val="003A7ECE"/>
    <w:rsid w:val="003B047B"/>
    <w:rsid w:val="003B216A"/>
    <w:rsid w:val="003B22DE"/>
    <w:rsid w:val="003B254E"/>
    <w:rsid w:val="003B2962"/>
    <w:rsid w:val="003B2C71"/>
    <w:rsid w:val="003B3011"/>
    <w:rsid w:val="003B496B"/>
    <w:rsid w:val="003B4B5C"/>
    <w:rsid w:val="003B5741"/>
    <w:rsid w:val="003B578A"/>
    <w:rsid w:val="003B7C4B"/>
    <w:rsid w:val="003C0988"/>
    <w:rsid w:val="003C09B6"/>
    <w:rsid w:val="003C1CEE"/>
    <w:rsid w:val="003C260D"/>
    <w:rsid w:val="003C29F8"/>
    <w:rsid w:val="003C4A62"/>
    <w:rsid w:val="003D19E9"/>
    <w:rsid w:val="003D3680"/>
    <w:rsid w:val="003D36C5"/>
    <w:rsid w:val="003D3775"/>
    <w:rsid w:val="003D4BEA"/>
    <w:rsid w:val="003D4FBA"/>
    <w:rsid w:val="003D6895"/>
    <w:rsid w:val="003D6E0B"/>
    <w:rsid w:val="003E063F"/>
    <w:rsid w:val="003E1C22"/>
    <w:rsid w:val="003E3366"/>
    <w:rsid w:val="003E35ED"/>
    <w:rsid w:val="003E4224"/>
    <w:rsid w:val="003E425F"/>
    <w:rsid w:val="003E6841"/>
    <w:rsid w:val="003E6D93"/>
    <w:rsid w:val="003E721A"/>
    <w:rsid w:val="003E73C0"/>
    <w:rsid w:val="003E7B6C"/>
    <w:rsid w:val="003F183D"/>
    <w:rsid w:val="003F2A0D"/>
    <w:rsid w:val="003F3608"/>
    <w:rsid w:val="003F459E"/>
    <w:rsid w:val="003F5558"/>
    <w:rsid w:val="003F6325"/>
    <w:rsid w:val="003F698D"/>
    <w:rsid w:val="003F6FE5"/>
    <w:rsid w:val="003F707D"/>
    <w:rsid w:val="003F7A37"/>
    <w:rsid w:val="00400090"/>
    <w:rsid w:val="004000E1"/>
    <w:rsid w:val="00400364"/>
    <w:rsid w:val="00401469"/>
    <w:rsid w:val="004029C5"/>
    <w:rsid w:val="00403722"/>
    <w:rsid w:val="00404377"/>
    <w:rsid w:val="00407128"/>
    <w:rsid w:val="0041006F"/>
    <w:rsid w:val="00410B25"/>
    <w:rsid w:val="004124C4"/>
    <w:rsid w:val="004127A8"/>
    <w:rsid w:val="00412DA0"/>
    <w:rsid w:val="00412E1B"/>
    <w:rsid w:val="00413363"/>
    <w:rsid w:val="00413395"/>
    <w:rsid w:val="00413A05"/>
    <w:rsid w:val="00413F6C"/>
    <w:rsid w:val="00416FF2"/>
    <w:rsid w:val="004175EB"/>
    <w:rsid w:val="00417BE5"/>
    <w:rsid w:val="00417DB7"/>
    <w:rsid w:val="0042076F"/>
    <w:rsid w:val="00421726"/>
    <w:rsid w:val="004223D4"/>
    <w:rsid w:val="00422C62"/>
    <w:rsid w:val="00423EDB"/>
    <w:rsid w:val="00423F34"/>
    <w:rsid w:val="004240DF"/>
    <w:rsid w:val="0042462A"/>
    <w:rsid w:val="00425B83"/>
    <w:rsid w:val="00425DD3"/>
    <w:rsid w:val="0042701A"/>
    <w:rsid w:val="00430529"/>
    <w:rsid w:val="004305DA"/>
    <w:rsid w:val="00433551"/>
    <w:rsid w:val="004357AC"/>
    <w:rsid w:val="004361B7"/>
    <w:rsid w:val="00437939"/>
    <w:rsid w:val="00440C3D"/>
    <w:rsid w:val="0044187D"/>
    <w:rsid w:val="00441E07"/>
    <w:rsid w:val="0044274A"/>
    <w:rsid w:val="00444F26"/>
    <w:rsid w:val="00445B73"/>
    <w:rsid w:val="0044628A"/>
    <w:rsid w:val="00446645"/>
    <w:rsid w:val="00452F69"/>
    <w:rsid w:val="004534DC"/>
    <w:rsid w:val="004563D6"/>
    <w:rsid w:val="004563DC"/>
    <w:rsid w:val="00456518"/>
    <w:rsid w:val="00456A00"/>
    <w:rsid w:val="00456DD2"/>
    <w:rsid w:val="0045705C"/>
    <w:rsid w:val="00460486"/>
    <w:rsid w:val="0046067B"/>
    <w:rsid w:val="004610FD"/>
    <w:rsid w:val="0046628B"/>
    <w:rsid w:val="00470818"/>
    <w:rsid w:val="00470933"/>
    <w:rsid w:val="00470E26"/>
    <w:rsid w:val="0047137A"/>
    <w:rsid w:val="004717DB"/>
    <w:rsid w:val="004740B6"/>
    <w:rsid w:val="004746D9"/>
    <w:rsid w:val="004754A8"/>
    <w:rsid w:val="00476DC3"/>
    <w:rsid w:val="004775CE"/>
    <w:rsid w:val="0048056F"/>
    <w:rsid w:val="00482C6D"/>
    <w:rsid w:val="00482D73"/>
    <w:rsid w:val="00483025"/>
    <w:rsid w:val="00483380"/>
    <w:rsid w:val="004836F1"/>
    <w:rsid w:val="004837D5"/>
    <w:rsid w:val="004862DE"/>
    <w:rsid w:val="004866E3"/>
    <w:rsid w:val="00487621"/>
    <w:rsid w:val="00487ECD"/>
    <w:rsid w:val="00490789"/>
    <w:rsid w:val="00490E93"/>
    <w:rsid w:val="0049303C"/>
    <w:rsid w:val="00493906"/>
    <w:rsid w:val="0049444A"/>
    <w:rsid w:val="00494584"/>
    <w:rsid w:val="00496884"/>
    <w:rsid w:val="0049718E"/>
    <w:rsid w:val="004A0253"/>
    <w:rsid w:val="004A1037"/>
    <w:rsid w:val="004A2AED"/>
    <w:rsid w:val="004A2DD8"/>
    <w:rsid w:val="004A31D4"/>
    <w:rsid w:val="004A3B98"/>
    <w:rsid w:val="004A4271"/>
    <w:rsid w:val="004A4C15"/>
    <w:rsid w:val="004A531D"/>
    <w:rsid w:val="004A6139"/>
    <w:rsid w:val="004B04F6"/>
    <w:rsid w:val="004B1F06"/>
    <w:rsid w:val="004B20F6"/>
    <w:rsid w:val="004B269C"/>
    <w:rsid w:val="004C0314"/>
    <w:rsid w:val="004C0901"/>
    <w:rsid w:val="004C1E3C"/>
    <w:rsid w:val="004C2CF2"/>
    <w:rsid w:val="004C3179"/>
    <w:rsid w:val="004C3A5A"/>
    <w:rsid w:val="004C4521"/>
    <w:rsid w:val="004C4E85"/>
    <w:rsid w:val="004C50DE"/>
    <w:rsid w:val="004C6BDB"/>
    <w:rsid w:val="004C7518"/>
    <w:rsid w:val="004D2520"/>
    <w:rsid w:val="004D3BBC"/>
    <w:rsid w:val="004D50E7"/>
    <w:rsid w:val="004D54A8"/>
    <w:rsid w:val="004D7BD8"/>
    <w:rsid w:val="004D7E1F"/>
    <w:rsid w:val="004E02A8"/>
    <w:rsid w:val="004E0CD6"/>
    <w:rsid w:val="004E1701"/>
    <w:rsid w:val="004F0157"/>
    <w:rsid w:val="004F09A0"/>
    <w:rsid w:val="004F169A"/>
    <w:rsid w:val="004F1B8D"/>
    <w:rsid w:val="004F1DD8"/>
    <w:rsid w:val="004F3F76"/>
    <w:rsid w:val="004F4314"/>
    <w:rsid w:val="004F49E8"/>
    <w:rsid w:val="004F67A2"/>
    <w:rsid w:val="005002EA"/>
    <w:rsid w:val="005016DC"/>
    <w:rsid w:val="00501D0E"/>
    <w:rsid w:val="00501DB7"/>
    <w:rsid w:val="00502CCC"/>
    <w:rsid w:val="00502E5C"/>
    <w:rsid w:val="00503252"/>
    <w:rsid w:val="00503255"/>
    <w:rsid w:val="00504CBD"/>
    <w:rsid w:val="005054CE"/>
    <w:rsid w:val="0050665C"/>
    <w:rsid w:val="005071E3"/>
    <w:rsid w:val="00510199"/>
    <w:rsid w:val="00510541"/>
    <w:rsid w:val="00512A7A"/>
    <w:rsid w:val="00512CFA"/>
    <w:rsid w:val="0051357A"/>
    <w:rsid w:val="00515CB9"/>
    <w:rsid w:val="00517B6D"/>
    <w:rsid w:val="00520036"/>
    <w:rsid w:val="00520B9D"/>
    <w:rsid w:val="00523118"/>
    <w:rsid w:val="005234B0"/>
    <w:rsid w:val="00524CAB"/>
    <w:rsid w:val="00530635"/>
    <w:rsid w:val="005309EB"/>
    <w:rsid w:val="00531AA3"/>
    <w:rsid w:val="005337B2"/>
    <w:rsid w:val="00534D54"/>
    <w:rsid w:val="00534EEB"/>
    <w:rsid w:val="005368C0"/>
    <w:rsid w:val="00536C75"/>
    <w:rsid w:val="00536D99"/>
    <w:rsid w:val="00537212"/>
    <w:rsid w:val="00541D12"/>
    <w:rsid w:val="0054297C"/>
    <w:rsid w:val="00544511"/>
    <w:rsid w:val="00545882"/>
    <w:rsid w:val="00546245"/>
    <w:rsid w:val="00547677"/>
    <w:rsid w:val="00552FA2"/>
    <w:rsid w:val="0055397B"/>
    <w:rsid w:val="005559A0"/>
    <w:rsid w:val="005603E8"/>
    <w:rsid w:val="005613DA"/>
    <w:rsid w:val="00561AE4"/>
    <w:rsid w:val="0056428C"/>
    <w:rsid w:val="00564749"/>
    <w:rsid w:val="00565F0C"/>
    <w:rsid w:val="00566825"/>
    <w:rsid w:val="005718EA"/>
    <w:rsid w:val="00573166"/>
    <w:rsid w:val="00574714"/>
    <w:rsid w:val="00575FEE"/>
    <w:rsid w:val="00576D12"/>
    <w:rsid w:val="00577AC3"/>
    <w:rsid w:val="00580266"/>
    <w:rsid w:val="00580AFB"/>
    <w:rsid w:val="00582446"/>
    <w:rsid w:val="00583742"/>
    <w:rsid w:val="00586669"/>
    <w:rsid w:val="00587E82"/>
    <w:rsid w:val="005927E4"/>
    <w:rsid w:val="005943B6"/>
    <w:rsid w:val="00596B5E"/>
    <w:rsid w:val="005A0AB2"/>
    <w:rsid w:val="005A1419"/>
    <w:rsid w:val="005A19F3"/>
    <w:rsid w:val="005A1E83"/>
    <w:rsid w:val="005A2268"/>
    <w:rsid w:val="005A278A"/>
    <w:rsid w:val="005A4E1F"/>
    <w:rsid w:val="005A56CC"/>
    <w:rsid w:val="005A5AA2"/>
    <w:rsid w:val="005A6862"/>
    <w:rsid w:val="005A75A7"/>
    <w:rsid w:val="005A77F1"/>
    <w:rsid w:val="005B0922"/>
    <w:rsid w:val="005B25B1"/>
    <w:rsid w:val="005B27C5"/>
    <w:rsid w:val="005B27CC"/>
    <w:rsid w:val="005B375F"/>
    <w:rsid w:val="005B3CCE"/>
    <w:rsid w:val="005B4B59"/>
    <w:rsid w:val="005B5DC3"/>
    <w:rsid w:val="005C0876"/>
    <w:rsid w:val="005C1289"/>
    <w:rsid w:val="005C37AC"/>
    <w:rsid w:val="005C398B"/>
    <w:rsid w:val="005C4A43"/>
    <w:rsid w:val="005C4F10"/>
    <w:rsid w:val="005C5206"/>
    <w:rsid w:val="005C7C80"/>
    <w:rsid w:val="005D07C5"/>
    <w:rsid w:val="005D1134"/>
    <w:rsid w:val="005D11CC"/>
    <w:rsid w:val="005D1B28"/>
    <w:rsid w:val="005D471A"/>
    <w:rsid w:val="005D4C3C"/>
    <w:rsid w:val="005D628B"/>
    <w:rsid w:val="005D6504"/>
    <w:rsid w:val="005D65B0"/>
    <w:rsid w:val="005E42E0"/>
    <w:rsid w:val="005E4828"/>
    <w:rsid w:val="005E58F1"/>
    <w:rsid w:val="005E6DD9"/>
    <w:rsid w:val="005E7279"/>
    <w:rsid w:val="005E78E6"/>
    <w:rsid w:val="005F0494"/>
    <w:rsid w:val="005F119E"/>
    <w:rsid w:val="005F2982"/>
    <w:rsid w:val="005F2DEF"/>
    <w:rsid w:val="005F3027"/>
    <w:rsid w:val="005F3314"/>
    <w:rsid w:val="005F3780"/>
    <w:rsid w:val="005F4CD0"/>
    <w:rsid w:val="005F6809"/>
    <w:rsid w:val="005F74BC"/>
    <w:rsid w:val="005F7547"/>
    <w:rsid w:val="0060155F"/>
    <w:rsid w:val="006053FD"/>
    <w:rsid w:val="00610436"/>
    <w:rsid w:val="00612BA8"/>
    <w:rsid w:val="00614226"/>
    <w:rsid w:val="0061468D"/>
    <w:rsid w:val="00614EAD"/>
    <w:rsid w:val="00615AE0"/>
    <w:rsid w:val="00616C96"/>
    <w:rsid w:val="00616E00"/>
    <w:rsid w:val="006170BC"/>
    <w:rsid w:val="00620B0C"/>
    <w:rsid w:val="0062291C"/>
    <w:rsid w:val="00623339"/>
    <w:rsid w:val="006244BC"/>
    <w:rsid w:val="00625030"/>
    <w:rsid w:val="006257C7"/>
    <w:rsid w:val="00625CF5"/>
    <w:rsid w:val="00626FCF"/>
    <w:rsid w:val="0063150F"/>
    <w:rsid w:val="006323E9"/>
    <w:rsid w:val="00632431"/>
    <w:rsid w:val="00633397"/>
    <w:rsid w:val="00633D25"/>
    <w:rsid w:val="00635487"/>
    <w:rsid w:val="0063585E"/>
    <w:rsid w:val="00635D80"/>
    <w:rsid w:val="0063671C"/>
    <w:rsid w:val="0064070A"/>
    <w:rsid w:val="00641039"/>
    <w:rsid w:val="00642083"/>
    <w:rsid w:val="00644749"/>
    <w:rsid w:val="00646280"/>
    <w:rsid w:val="00646646"/>
    <w:rsid w:val="00647E4C"/>
    <w:rsid w:val="006505EF"/>
    <w:rsid w:val="00652B09"/>
    <w:rsid w:val="00653435"/>
    <w:rsid w:val="00654174"/>
    <w:rsid w:val="0065472B"/>
    <w:rsid w:val="006547FE"/>
    <w:rsid w:val="00654A50"/>
    <w:rsid w:val="006550DC"/>
    <w:rsid w:val="00655AB0"/>
    <w:rsid w:val="00657FD2"/>
    <w:rsid w:val="006604B1"/>
    <w:rsid w:val="0066180C"/>
    <w:rsid w:val="006624E5"/>
    <w:rsid w:val="00663B6A"/>
    <w:rsid w:val="0066419A"/>
    <w:rsid w:val="00665123"/>
    <w:rsid w:val="00666264"/>
    <w:rsid w:val="00666DAF"/>
    <w:rsid w:val="006670E0"/>
    <w:rsid w:val="006700C1"/>
    <w:rsid w:val="0067040F"/>
    <w:rsid w:val="006724E5"/>
    <w:rsid w:val="00675908"/>
    <w:rsid w:val="00675D38"/>
    <w:rsid w:val="006771F8"/>
    <w:rsid w:val="00677EA8"/>
    <w:rsid w:val="006804BC"/>
    <w:rsid w:val="00680DE9"/>
    <w:rsid w:val="00681DD7"/>
    <w:rsid w:val="006836E7"/>
    <w:rsid w:val="006846D4"/>
    <w:rsid w:val="00685554"/>
    <w:rsid w:val="006873B9"/>
    <w:rsid w:val="00692292"/>
    <w:rsid w:val="0069255E"/>
    <w:rsid w:val="006926D6"/>
    <w:rsid w:val="00692750"/>
    <w:rsid w:val="00694AF4"/>
    <w:rsid w:val="0069572D"/>
    <w:rsid w:val="006957C7"/>
    <w:rsid w:val="00697258"/>
    <w:rsid w:val="006976E1"/>
    <w:rsid w:val="006A014A"/>
    <w:rsid w:val="006A1A9E"/>
    <w:rsid w:val="006A4353"/>
    <w:rsid w:val="006A48C6"/>
    <w:rsid w:val="006A507F"/>
    <w:rsid w:val="006A5312"/>
    <w:rsid w:val="006A65CA"/>
    <w:rsid w:val="006A70D0"/>
    <w:rsid w:val="006A7A6C"/>
    <w:rsid w:val="006A7B70"/>
    <w:rsid w:val="006B1DD1"/>
    <w:rsid w:val="006B3038"/>
    <w:rsid w:val="006B48A7"/>
    <w:rsid w:val="006B4F33"/>
    <w:rsid w:val="006B62DA"/>
    <w:rsid w:val="006B6C79"/>
    <w:rsid w:val="006B6D61"/>
    <w:rsid w:val="006B72FD"/>
    <w:rsid w:val="006B7D15"/>
    <w:rsid w:val="006C0C10"/>
    <w:rsid w:val="006C2BE9"/>
    <w:rsid w:val="006C5328"/>
    <w:rsid w:val="006C58D9"/>
    <w:rsid w:val="006C6AC7"/>
    <w:rsid w:val="006C79B4"/>
    <w:rsid w:val="006D0C3D"/>
    <w:rsid w:val="006D1943"/>
    <w:rsid w:val="006D1D9E"/>
    <w:rsid w:val="006D2C5C"/>
    <w:rsid w:val="006D2CE8"/>
    <w:rsid w:val="006D2E6A"/>
    <w:rsid w:val="006D2FCD"/>
    <w:rsid w:val="006D317E"/>
    <w:rsid w:val="006D41B2"/>
    <w:rsid w:val="006D4BCF"/>
    <w:rsid w:val="006D55AE"/>
    <w:rsid w:val="006D5EA4"/>
    <w:rsid w:val="006E016A"/>
    <w:rsid w:val="006E09B5"/>
    <w:rsid w:val="006E146E"/>
    <w:rsid w:val="006E2CCF"/>
    <w:rsid w:val="006E34C2"/>
    <w:rsid w:val="006E54AE"/>
    <w:rsid w:val="006E6474"/>
    <w:rsid w:val="006E7E7E"/>
    <w:rsid w:val="006E7FCE"/>
    <w:rsid w:val="006F0483"/>
    <w:rsid w:val="006F0648"/>
    <w:rsid w:val="006F0DAA"/>
    <w:rsid w:val="006F13B6"/>
    <w:rsid w:val="006F19D3"/>
    <w:rsid w:val="006F65A9"/>
    <w:rsid w:val="00700592"/>
    <w:rsid w:val="0070083B"/>
    <w:rsid w:val="00700F12"/>
    <w:rsid w:val="00700F2D"/>
    <w:rsid w:val="007023D5"/>
    <w:rsid w:val="007030CE"/>
    <w:rsid w:val="00704B22"/>
    <w:rsid w:val="007108E8"/>
    <w:rsid w:val="00710D6E"/>
    <w:rsid w:val="007128C3"/>
    <w:rsid w:val="00713412"/>
    <w:rsid w:val="00714215"/>
    <w:rsid w:val="00716C62"/>
    <w:rsid w:val="00720399"/>
    <w:rsid w:val="0072095D"/>
    <w:rsid w:val="00723E24"/>
    <w:rsid w:val="007240A5"/>
    <w:rsid w:val="00725371"/>
    <w:rsid w:val="0072560F"/>
    <w:rsid w:val="00725722"/>
    <w:rsid w:val="00725E80"/>
    <w:rsid w:val="00726617"/>
    <w:rsid w:val="00727280"/>
    <w:rsid w:val="00730422"/>
    <w:rsid w:val="0073246C"/>
    <w:rsid w:val="00732C07"/>
    <w:rsid w:val="00733331"/>
    <w:rsid w:val="007349C0"/>
    <w:rsid w:val="00736A96"/>
    <w:rsid w:val="00736FD6"/>
    <w:rsid w:val="00737512"/>
    <w:rsid w:val="00737593"/>
    <w:rsid w:val="00743252"/>
    <w:rsid w:val="00744878"/>
    <w:rsid w:val="007460DE"/>
    <w:rsid w:val="00747DA5"/>
    <w:rsid w:val="00751949"/>
    <w:rsid w:val="00751F45"/>
    <w:rsid w:val="00754E2C"/>
    <w:rsid w:val="0075585F"/>
    <w:rsid w:val="007560B0"/>
    <w:rsid w:val="007572C5"/>
    <w:rsid w:val="0076203A"/>
    <w:rsid w:val="00762175"/>
    <w:rsid w:val="007624D9"/>
    <w:rsid w:val="0076531A"/>
    <w:rsid w:val="007657C8"/>
    <w:rsid w:val="00770169"/>
    <w:rsid w:val="00771DA7"/>
    <w:rsid w:val="00772E56"/>
    <w:rsid w:val="00774FEC"/>
    <w:rsid w:val="0077514A"/>
    <w:rsid w:val="00775BDA"/>
    <w:rsid w:val="0077634B"/>
    <w:rsid w:val="007768E4"/>
    <w:rsid w:val="007806F7"/>
    <w:rsid w:val="00780864"/>
    <w:rsid w:val="00780A73"/>
    <w:rsid w:val="007826EC"/>
    <w:rsid w:val="00783578"/>
    <w:rsid w:val="00784C6F"/>
    <w:rsid w:val="00786934"/>
    <w:rsid w:val="00790355"/>
    <w:rsid w:val="007903E7"/>
    <w:rsid w:val="007910DC"/>
    <w:rsid w:val="007912D5"/>
    <w:rsid w:val="00792236"/>
    <w:rsid w:val="007941BA"/>
    <w:rsid w:val="00796569"/>
    <w:rsid w:val="00797590"/>
    <w:rsid w:val="007A043B"/>
    <w:rsid w:val="007A1F5B"/>
    <w:rsid w:val="007A38A8"/>
    <w:rsid w:val="007A3FC8"/>
    <w:rsid w:val="007A537B"/>
    <w:rsid w:val="007A6A5A"/>
    <w:rsid w:val="007B13C9"/>
    <w:rsid w:val="007B2867"/>
    <w:rsid w:val="007B2D90"/>
    <w:rsid w:val="007B79DD"/>
    <w:rsid w:val="007B7C4B"/>
    <w:rsid w:val="007C005E"/>
    <w:rsid w:val="007C4C93"/>
    <w:rsid w:val="007C7B96"/>
    <w:rsid w:val="007D02A2"/>
    <w:rsid w:val="007D1653"/>
    <w:rsid w:val="007D2537"/>
    <w:rsid w:val="007D4C05"/>
    <w:rsid w:val="007D6BB4"/>
    <w:rsid w:val="007D78F3"/>
    <w:rsid w:val="007D7EF8"/>
    <w:rsid w:val="007E06CB"/>
    <w:rsid w:val="007E1553"/>
    <w:rsid w:val="007E17B9"/>
    <w:rsid w:val="007E1886"/>
    <w:rsid w:val="007E2290"/>
    <w:rsid w:val="007E2E9F"/>
    <w:rsid w:val="007E3884"/>
    <w:rsid w:val="007E65D7"/>
    <w:rsid w:val="007E7423"/>
    <w:rsid w:val="007E756E"/>
    <w:rsid w:val="007E792A"/>
    <w:rsid w:val="007F01CE"/>
    <w:rsid w:val="007F0796"/>
    <w:rsid w:val="007F17D5"/>
    <w:rsid w:val="007F297B"/>
    <w:rsid w:val="007F36E3"/>
    <w:rsid w:val="007F4385"/>
    <w:rsid w:val="007F4A7A"/>
    <w:rsid w:val="007F5E45"/>
    <w:rsid w:val="007F7D15"/>
    <w:rsid w:val="00800696"/>
    <w:rsid w:val="00800875"/>
    <w:rsid w:val="0080123D"/>
    <w:rsid w:val="00802344"/>
    <w:rsid w:val="00802468"/>
    <w:rsid w:val="008028B0"/>
    <w:rsid w:val="008032E6"/>
    <w:rsid w:val="00803406"/>
    <w:rsid w:val="00803ACE"/>
    <w:rsid w:val="00804A85"/>
    <w:rsid w:val="008059B6"/>
    <w:rsid w:val="00805F81"/>
    <w:rsid w:val="0080644D"/>
    <w:rsid w:val="00807C59"/>
    <w:rsid w:val="00807F34"/>
    <w:rsid w:val="00807FD5"/>
    <w:rsid w:val="00811449"/>
    <w:rsid w:val="0081224C"/>
    <w:rsid w:val="00813EF8"/>
    <w:rsid w:val="008147CC"/>
    <w:rsid w:val="00820CFB"/>
    <w:rsid w:val="00821BC5"/>
    <w:rsid w:val="008227D8"/>
    <w:rsid w:val="008231D3"/>
    <w:rsid w:val="00823977"/>
    <w:rsid w:val="00826ABA"/>
    <w:rsid w:val="008271E1"/>
    <w:rsid w:val="00827E8F"/>
    <w:rsid w:val="008305BC"/>
    <w:rsid w:val="00830AC6"/>
    <w:rsid w:val="00836D2C"/>
    <w:rsid w:val="0083714B"/>
    <w:rsid w:val="0084051E"/>
    <w:rsid w:val="008413A3"/>
    <w:rsid w:val="008417BC"/>
    <w:rsid w:val="00845606"/>
    <w:rsid w:val="008465E3"/>
    <w:rsid w:val="00847028"/>
    <w:rsid w:val="00847ED4"/>
    <w:rsid w:val="00852667"/>
    <w:rsid w:val="00852F4D"/>
    <w:rsid w:val="00853033"/>
    <w:rsid w:val="008559F9"/>
    <w:rsid w:val="008569CF"/>
    <w:rsid w:val="00862F81"/>
    <w:rsid w:val="00863635"/>
    <w:rsid w:val="00863BF6"/>
    <w:rsid w:val="00863D16"/>
    <w:rsid w:val="00863D78"/>
    <w:rsid w:val="00864002"/>
    <w:rsid w:val="00864AD7"/>
    <w:rsid w:val="00864D2A"/>
    <w:rsid w:val="00865811"/>
    <w:rsid w:val="00866072"/>
    <w:rsid w:val="00867201"/>
    <w:rsid w:val="00867F78"/>
    <w:rsid w:val="008708E7"/>
    <w:rsid w:val="008709D1"/>
    <w:rsid w:val="00870EA2"/>
    <w:rsid w:val="008719F2"/>
    <w:rsid w:val="0087448F"/>
    <w:rsid w:val="008754F3"/>
    <w:rsid w:val="00876312"/>
    <w:rsid w:val="00880406"/>
    <w:rsid w:val="008805CC"/>
    <w:rsid w:val="00880921"/>
    <w:rsid w:val="00880F84"/>
    <w:rsid w:val="00881B53"/>
    <w:rsid w:val="00881D89"/>
    <w:rsid w:val="00885B69"/>
    <w:rsid w:val="00887561"/>
    <w:rsid w:val="00890025"/>
    <w:rsid w:val="00893000"/>
    <w:rsid w:val="008947BF"/>
    <w:rsid w:val="008954D8"/>
    <w:rsid w:val="00895868"/>
    <w:rsid w:val="00895935"/>
    <w:rsid w:val="00896BE9"/>
    <w:rsid w:val="00896CF0"/>
    <w:rsid w:val="0089755B"/>
    <w:rsid w:val="0089787E"/>
    <w:rsid w:val="008A123C"/>
    <w:rsid w:val="008A150D"/>
    <w:rsid w:val="008A1942"/>
    <w:rsid w:val="008A210B"/>
    <w:rsid w:val="008A42B9"/>
    <w:rsid w:val="008A475A"/>
    <w:rsid w:val="008A7CC1"/>
    <w:rsid w:val="008B1CD5"/>
    <w:rsid w:val="008B27B1"/>
    <w:rsid w:val="008B2CD3"/>
    <w:rsid w:val="008B4485"/>
    <w:rsid w:val="008B463E"/>
    <w:rsid w:val="008B5403"/>
    <w:rsid w:val="008B56CF"/>
    <w:rsid w:val="008C0E22"/>
    <w:rsid w:val="008C14BC"/>
    <w:rsid w:val="008C2298"/>
    <w:rsid w:val="008C2E3B"/>
    <w:rsid w:val="008C438A"/>
    <w:rsid w:val="008C4595"/>
    <w:rsid w:val="008C48E7"/>
    <w:rsid w:val="008C6252"/>
    <w:rsid w:val="008C627A"/>
    <w:rsid w:val="008C6445"/>
    <w:rsid w:val="008C7FE3"/>
    <w:rsid w:val="008D088B"/>
    <w:rsid w:val="008D1C1C"/>
    <w:rsid w:val="008D29DF"/>
    <w:rsid w:val="008D2D3B"/>
    <w:rsid w:val="008D38EA"/>
    <w:rsid w:val="008D496B"/>
    <w:rsid w:val="008D4984"/>
    <w:rsid w:val="008D66AA"/>
    <w:rsid w:val="008D727F"/>
    <w:rsid w:val="008D779E"/>
    <w:rsid w:val="008E0A3D"/>
    <w:rsid w:val="008E0B2E"/>
    <w:rsid w:val="008E133C"/>
    <w:rsid w:val="008E1B39"/>
    <w:rsid w:val="008E2BA5"/>
    <w:rsid w:val="008E318F"/>
    <w:rsid w:val="008E3469"/>
    <w:rsid w:val="008E3546"/>
    <w:rsid w:val="008E47EB"/>
    <w:rsid w:val="008E5D9F"/>
    <w:rsid w:val="008E6DF7"/>
    <w:rsid w:val="008E72D6"/>
    <w:rsid w:val="008F0910"/>
    <w:rsid w:val="008F0AD1"/>
    <w:rsid w:val="008F0FED"/>
    <w:rsid w:val="008F1002"/>
    <w:rsid w:val="008F2D27"/>
    <w:rsid w:val="008F2E04"/>
    <w:rsid w:val="008F51DD"/>
    <w:rsid w:val="008F6464"/>
    <w:rsid w:val="008F6742"/>
    <w:rsid w:val="00901638"/>
    <w:rsid w:val="00901F8D"/>
    <w:rsid w:val="00902F28"/>
    <w:rsid w:val="009037BE"/>
    <w:rsid w:val="00903ADC"/>
    <w:rsid w:val="00903AF9"/>
    <w:rsid w:val="00904C2E"/>
    <w:rsid w:val="00905E00"/>
    <w:rsid w:val="00910210"/>
    <w:rsid w:val="00910782"/>
    <w:rsid w:val="00911EB9"/>
    <w:rsid w:val="00912CCC"/>
    <w:rsid w:val="009131E8"/>
    <w:rsid w:val="00914B47"/>
    <w:rsid w:val="00915C00"/>
    <w:rsid w:val="00921B42"/>
    <w:rsid w:val="00922D0B"/>
    <w:rsid w:val="00923F19"/>
    <w:rsid w:val="00924828"/>
    <w:rsid w:val="00925186"/>
    <w:rsid w:val="009255D2"/>
    <w:rsid w:val="009263E9"/>
    <w:rsid w:val="0092677F"/>
    <w:rsid w:val="009271BF"/>
    <w:rsid w:val="00930348"/>
    <w:rsid w:val="009310F6"/>
    <w:rsid w:val="0093191F"/>
    <w:rsid w:val="00931CFA"/>
    <w:rsid w:val="00934463"/>
    <w:rsid w:val="00935312"/>
    <w:rsid w:val="0093669D"/>
    <w:rsid w:val="009367FE"/>
    <w:rsid w:val="0093705C"/>
    <w:rsid w:val="00941A1A"/>
    <w:rsid w:val="009430D4"/>
    <w:rsid w:val="0094380E"/>
    <w:rsid w:val="009439F0"/>
    <w:rsid w:val="00944882"/>
    <w:rsid w:val="00944CDE"/>
    <w:rsid w:val="00945598"/>
    <w:rsid w:val="0094592A"/>
    <w:rsid w:val="00946123"/>
    <w:rsid w:val="009467DD"/>
    <w:rsid w:val="00946FFE"/>
    <w:rsid w:val="009470D5"/>
    <w:rsid w:val="0094711A"/>
    <w:rsid w:val="009477D6"/>
    <w:rsid w:val="0095040E"/>
    <w:rsid w:val="00950D9F"/>
    <w:rsid w:val="00953535"/>
    <w:rsid w:val="00953D99"/>
    <w:rsid w:val="009540F9"/>
    <w:rsid w:val="00956823"/>
    <w:rsid w:val="009608E6"/>
    <w:rsid w:val="0096233E"/>
    <w:rsid w:val="00963CB5"/>
    <w:rsid w:val="00964D1D"/>
    <w:rsid w:val="00965336"/>
    <w:rsid w:val="00965728"/>
    <w:rsid w:val="00965A72"/>
    <w:rsid w:val="00966BFF"/>
    <w:rsid w:val="009702E8"/>
    <w:rsid w:val="0097059F"/>
    <w:rsid w:val="0097067C"/>
    <w:rsid w:val="009711D9"/>
    <w:rsid w:val="00972432"/>
    <w:rsid w:val="0097477F"/>
    <w:rsid w:val="00975A85"/>
    <w:rsid w:val="00976B83"/>
    <w:rsid w:val="00976EA3"/>
    <w:rsid w:val="00980A5A"/>
    <w:rsid w:val="0098276D"/>
    <w:rsid w:val="009835E1"/>
    <w:rsid w:val="00983665"/>
    <w:rsid w:val="00983939"/>
    <w:rsid w:val="0098489F"/>
    <w:rsid w:val="00984BFE"/>
    <w:rsid w:val="009862AA"/>
    <w:rsid w:val="009867E5"/>
    <w:rsid w:val="00986F4B"/>
    <w:rsid w:val="0098778F"/>
    <w:rsid w:val="00991EB7"/>
    <w:rsid w:val="009923CF"/>
    <w:rsid w:val="00993438"/>
    <w:rsid w:val="00995A34"/>
    <w:rsid w:val="0099602E"/>
    <w:rsid w:val="00996EB1"/>
    <w:rsid w:val="00997FD2"/>
    <w:rsid w:val="009A075F"/>
    <w:rsid w:val="009A2801"/>
    <w:rsid w:val="009A35D7"/>
    <w:rsid w:val="009A3D60"/>
    <w:rsid w:val="009A3F5A"/>
    <w:rsid w:val="009A5F29"/>
    <w:rsid w:val="009A74AC"/>
    <w:rsid w:val="009B2909"/>
    <w:rsid w:val="009B3CF3"/>
    <w:rsid w:val="009B7DFA"/>
    <w:rsid w:val="009C1525"/>
    <w:rsid w:val="009C1755"/>
    <w:rsid w:val="009C1C66"/>
    <w:rsid w:val="009C5312"/>
    <w:rsid w:val="009C5678"/>
    <w:rsid w:val="009C5692"/>
    <w:rsid w:val="009C732C"/>
    <w:rsid w:val="009C7C08"/>
    <w:rsid w:val="009D0253"/>
    <w:rsid w:val="009D0CC5"/>
    <w:rsid w:val="009D1543"/>
    <w:rsid w:val="009D4245"/>
    <w:rsid w:val="009D7BB7"/>
    <w:rsid w:val="009D7BE6"/>
    <w:rsid w:val="009E0914"/>
    <w:rsid w:val="009E3658"/>
    <w:rsid w:val="009E398E"/>
    <w:rsid w:val="009E3C9A"/>
    <w:rsid w:val="009E46A3"/>
    <w:rsid w:val="009E4F80"/>
    <w:rsid w:val="009E5D3E"/>
    <w:rsid w:val="009E6AFE"/>
    <w:rsid w:val="009E7767"/>
    <w:rsid w:val="009F030E"/>
    <w:rsid w:val="009F0CF1"/>
    <w:rsid w:val="009F2F57"/>
    <w:rsid w:val="009F366E"/>
    <w:rsid w:val="009F3FF5"/>
    <w:rsid w:val="009F5045"/>
    <w:rsid w:val="009F6E73"/>
    <w:rsid w:val="009F7F19"/>
    <w:rsid w:val="00A004C8"/>
    <w:rsid w:val="00A01B8D"/>
    <w:rsid w:val="00A01CE1"/>
    <w:rsid w:val="00A02024"/>
    <w:rsid w:val="00A02437"/>
    <w:rsid w:val="00A06BD8"/>
    <w:rsid w:val="00A07E6D"/>
    <w:rsid w:val="00A104EA"/>
    <w:rsid w:val="00A132CA"/>
    <w:rsid w:val="00A14645"/>
    <w:rsid w:val="00A15052"/>
    <w:rsid w:val="00A15143"/>
    <w:rsid w:val="00A15A93"/>
    <w:rsid w:val="00A15BCC"/>
    <w:rsid w:val="00A1633F"/>
    <w:rsid w:val="00A16AE7"/>
    <w:rsid w:val="00A16C0C"/>
    <w:rsid w:val="00A16F9D"/>
    <w:rsid w:val="00A21076"/>
    <w:rsid w:val="00A21DAD"/>
    <w:rsid w:val="00A252A2"/>
    <w:rsid w:val="00A264BB"/>
    <w:rsid w:val="00A27E14"/>
    <w:rsid w:val="00A27E46"/>
    <w:rsid w:val="00A31725"/>
    <w:rsid w:val="00A32309"/>
    <w:rsid w:val="00A335CA"/>
    <w:rsid w:val="00A342E3"/>
    <w:rsid w:val="00A34E1A"/>
    <w:rsid w:val="00A355D3"/>
    <w:rsid w:val="00A35DE2"/>
    <w:rsid w:val="00A36443"/>
    <w:rsid w:val="00A36A68"/>
    <w:rsid w:val="00A37F00"/>
    <w:rsid w:val="00A4042F"/>
    <w:rsid w:val="00A405A8"/>
    <w:rsid w:val="00A42609"/>
    <w:rsid w:val="00A42B73"/>
    <w:rsid w:val="00A43541"/>
    <w:rsid w:val="00A4441E"/>
    <w:rsid w:val="00A47417"/>
    <w:rsid w:val="00A47B54"/>
    <w:rsid w:val="00A50238"/>
    <w:rsid w:val="00A51DFD"/>
    <w:rsid w:val="00A537F4"/>
    <w:rsid w:val="00A54797"/>
    <w:rsid w:val="00A54A03"/>
    <w:rsid w:val="00A55372"/>
    <w:rsid w:val="00A55FFC"/>
    <w:rsid w:val="00A602CF"/>
    <w:rsid w:val="00A60803"/>
    <w:rsid w:val="00A61E4A"/>
    <w:rsid w:val="00A635CD"/>
    <w:rsid w:val="00A6675F"/>
    <w:rsid w:val="00A702EB"/>
    <w:rsid w:val="00A72923"/>
    <w:rsid w:val="00A72CD1"/>
    <w:rsid w:val="00A739AB"/>
    <w:rsid w:val="00A74872"/>
    <w:rsid w:val="00A764D4"/>
    <w:rsid w:val="00A76502"/>
    <w:rsid w:val="00A766F8"/>
    <w:rsid w:val="00A76C25"/>
    <w:rsid w:val="00A803EC"/>
    <w:rsid w:val="00A8238D"/>
    <w:rsid w:val="00A83756"/>
    <w:rsid w:val="00A8461F"/>
    <w:rsid w:val="00A84943"/>
    <w:rsid w:val="00A8510F"/>
    <w:rsid w:val="00A85E2F"/>
    <w:rsid w:val="00A86A33"/>
    <w:rsid w:val="00A87632"/>
    <w:rsid w:val="00A87AAA"/>
    <w:rsid w:val="00A87F6B"/>
    <w:rsid w:val="00A90686"/>
    <w:rsid w:val="00A91F8F"/>
    <w:rsid w:val="00A926AD"/>
    <w:rsid w:val="00A935B7"/>
    <w:rsid w:val="00A942F1"/>
    <w:rsid w:val="00A947B6"/>
    <w:rsid w:val="00A954D3"/>
    <w:rsid w:val="00A961E4"/>
    <w:rsid w:val="00A97B00"/>
    <w:rsid w:val="00AA23A2"/>
    <w:rsid w:val="00AA2D99"/>
    <w:rsid w:val="00AA364E"/>
    <w:rsid w:val="00AA45D6"/>
    <w:rsid w:val="00AA4C03"/>
    <w:rsid w:val="00AA4EB5"/>
    <w:rsid w:val="00AA5106"/>
    <w:rsid w:val="00AB1BF1"/>
    <w:rsid w:val="00AB1C3F"/>
    <w:rsid w:val="00AB380C"/>
    <w:rsid w:val="00AB3ED2"/>
    <w:rsid w:val="00AB4610"/>
    <w:rsid w:val="00AB479E"/>
    <w:rsid w:val="00AB4ACF"/>
    <w:rsid w:val="00AB58ED"/>
    <w:rsid w:val="00AB628F"/>
    <w:rsid w:val="00AB6AC2"/>
    <w:rsid w:val="00AB75A7"/>
    <w:rsid w:val="00AC0765"/>
    <w:rsid w:val="00AC1E71"/>
    <w:rsid w:val="00AC3BEA"/>
    <w:rsid w:val="00AC3ED9"/>
    <w:rsid w:val="00AC402E"/>
    <w:rsid w:val="00AC493D"/>
    <w:rsid w:val="00AC6874"/>
    <w:rsid w:val="00AC68E4"/>
    <w:rsid w:val="00AC6AC4"/>
    <w:rsid w:val="00AC6F29"/>
    <w:rsid w:val="00AC7216"/>
    <w:rsid w:val="00AD04FB"/>
    <w:rsid w:val="00AD0708"/>
    <w:rsid w:val="00AD0AD5"/>
    <w:rsid w:val="00AD253F"/>
    <w:rsid w:val="00AD39A0"/>
    <w:rsid w:val="00AD3B07"/>
    <w:rsid w:val="00AD450D"/>
    <w:rsid w:val="00AD4D4D"/>
    <w:rsid w:val="00AD4E58"/>
    <w:rsid w:val="00AD5FE5"/>
    <w:rsid w:val="00AD672C"/>
    <w:rsid w:val="00AD7A23"/>
    <w:rsid w:val="00AE2EF3"/>
    <w:rsid w:val="00AE4E29"/>
    <w:rsid w:val="00AE50DF"/>
    <w:rsid w:val="00AE542F"/>
    <w:rsid w:val="00AE76F9"/>
    <w:rsid w:val="00AF1C30"/>
    <w:rsid w:val="00AF201C"/>
    <w:rsid w:val="00AF21E9"/>
    <w:rsid w:val="00AF2257"/>
    <w:rsid w:val="00AF4BFA"/>
    <w:rsid w:val="00AF7F37"/>
    <w:rsid w:val="00B00C2C"/>
    <w:rsid w:val="00B016A3"/>
    <w:rsid w:val="00B05BEC"/>
    <w:rsid w:val="00B06169"/>
    <w:rsid w:val="00B06D47"/>
    <w:rsid w:val="00B125D5"/>
    <w:rsid w:val="00B1314B"/>
    <w:rsid w:val="00B13A2D"/>
    <w:rsid w:val="00B1435D"/>
    <w:rsid w:val="00B14AE3"/>
    <w:rsid w:val="00B17851"/>
    <w:rsid w:val="00B22DF2"/>
    <w:rsid w:val="00B23C69"/>
    <w:rsid w:val="00B249C1"/>
    <w:rsid w:val="00B258AA"/>
    <w:rsid w:val="00B26318"/>
    <w:rsid w:val="00B32242"/>
    <w:rsid w:val="00B32DA4"/>
    <w:rsid w:val="00B3342F"/>
    <w:rsid w:val="00B33942"/>
    <w:rsid w:val="00B34A88"/>
    <w:rsid w:val="00B34AAE"/>
    <w:rsid w:val="00B3790A"/>
    <w:rsid w:val="00B37D35"/>
    <w:rsid w:val="00B4096F"/>
    <w:rsid w:val="00B409EC"/>
    <w:rsid w:val="00B40B9E"/>
    <w:rsid w:val="00B43374"/>
    <w:rsid w:val="00B437FC"/>
    <w:rsid w:val="00B43B70"/>
    <w:rsid w:val="00B45365"/>
    <w:rsid w:val="00B45B83"/>
    <w:rsid w:val="00B46DE4"/>
    <w:rsid w:val="00B471E0"/>
    <w:rsid w:val="00B509AF"/>
    <w:rsid w:val="00B50B05"/>
    <w:rsid w:val="00B516BA"/>
    <w:rsid w:val="00B51D12"/>
    <w:rsid w:val="00B532E9"/>
    <w:rsid w:val="00B535B6"/>
    <w:rsid w:val="00B55A06"/>
    <w:rsid w:val="00B565B5"/>
    <w:rsid w:val="00B56CA7"/>
    <w:rsid w:val="00B57511"/>
    <w:rsid w:val="00B60293"/>
    <w:rsid w:val="00B6036F"/>
    <w:rsid w:val="00B6260E"/>
    <w:rsid w:val="00B626FB"/>
    <w:rsid w:val="00B62CBB"/>
    <w:rsid w:val="00B62E73"/>
    <w:rsid w:val="00B644F5"/>
    <w:rsid w:val="00B67936"/>
    <w:rsid w:val="00B73AE0"/>
    <w:rsid w:val="00B73BB9"/>
    <w:rsid w:val="00B7433A"/>
    <w:rsid w:val="00B75FA7"/>
    <w:rsid w:val="00B76B63"/>
    <w:rsid w:val="00B81112"/>
    <w:rsid w:val="00B82795"/>
    <w:rsid w:val="00B82DE1"/>
    <w:rsid w:val="00B83E7F"/>
    <w:rsid w:val="00B85B81"/>
    <w:rsid w:val="00B85D02"/>
    <w:rsid w:val="00B85E63"/>
    <w:rsid w:val="00B8724A"/>
    <w:rsid w:val="00B877A1"/>
    <w:rsid w:val="00B92119"/>
    <w:rsid w:val="00B9241C"/>
    <w:rsid w:val="00B93034"/>
    <w:rsid w:val="00B94011"/>
    <w:rsid w:val="00B94433"/>
    <w:rsid w:val="00B96F19"/>
    <w:rsid w:val="00B974A2"/>
    <w:rsid w:val="00B97536"/>
    <w:rsid w:val="00B97913"/>
    <w:rsid w:val="00BA0289"/>
    <w:rsid w:val="00BA0841"/>
    <w:rsid w:val="00BA3A22"/>
    <w:rsid w:val="00BA620D"/>
    <w:rsid w:val="00BA73B1"/>
    <w:rsid w:val="00BA749D"/>
    <w:rsid w:val="00BB0530"/>
    <w:rsid w:val="00BB0804"/>
    <w:rsid w:val="00BB1154"/>
    <w:rsid w:val="00BB1491"/>
    <w:rsid w:val="00BB17EE"/>
    <w:rsid w:val="00BB2D3A"/>
    <w:rsid w:val="00BB3364"/>
    <w:rsid w:val="00BB3E7D"/>
    <w:rsid w:val="00BB45E7"/>
    <w:rsid w:val="00BC072B"/>
    <w:rsid w:val="00BC16EA"/>
    <w:rsid w:val="00BC21F8"/>
    <w:rsid w:val="00BC4E00"/>
    <w:rsid w:val="00BD01EF"/>
    <w:rsid w:val="00BD0762"/>
    <w:rsid w:val="00BD2AD8"/>
    <w:rsid w:val="00BD3012"/>
    <w:rsid w:val="00BD4448"/>
    <w:rsid w:val="00BD4818"/>
    <w:rsid w:val="00BD6620"/>
    <w:rsid w:val="00BD76D4"/>
    <w:rsid w:val="00BE0122"/>
    <w:rsid w:val="00BE045D"/>
    <w:rsid w:val="00BE0811"/>
    <w:rsid w:val="00BE1FF3"/>
    <w:rsid w:val="00BE3D42"/>
    <w:rsid w:val="00BE40AC"/>
    <w:rsid w:val="00BE587D"/>
    <w:rsid w:val="00BE5AE9"/>
    <w:rsid w:val="00BF024A"/>
    <w:rsid w:val="00BF1D9E"/>
    <w:rsid w:val="00BF2204"/>
    <w:rsid w:val="00BF319F"/>
    <w:rsid w:val="00BF3D94"/>
    <w:rsid w:val="00BF4219"/>
    <w:rsid w:val="00BF5D59"/>
    <w:rsid w:val="00BF7122"/>
    <w:rsid w:val="00C009D9"/>
    <w:rsid w:val="00C02663"/>
    <w:rsid w:val="00C02677"/>
    <w:rsid w:val="00C02B44"/>
    <w:rsid w:val="00C03A06"/>
    <w:rsid w:val="00C04945"/>
    <w:rsid w:val="00C07EC0"/>
    <w:rsid w:val="00C12EB3"/>
    <w:rsid w:val="00C149B7"/>
    <w:rsid w:val="00C14BF1"/>
    <w:rsid w:val="00C16CC2"/>
    <w:rsid w:val="00C2214A"/>
    <w:rsid w:val="00C23607"/>
    <w:rsid w:val="00C23845"/>
    <w:rsid w:val="00C23D72"/>
    <w:rsid w:val="00C24934"/>
    <w:rsid w:val="00C262F4"/>
    <w:rsid w:val="00C26EE9"/>
    <w:rsid w:val="00C313EA"/>
    <w:rsid w:val="00C31A40"/>
    <w:rsid w:val="00C32544"/>
    <w:rsid w:val="00C34D15"/>
    <w:rsid w:val="00C35904"/>
    <w:rsid w:val="00C37D73"/>
    <w:rsid w:val="00C4141A"/>
    <w:rsid w:val="00C43E6A"/>
    <w:rsid w:val="00C4490A"/>
    <w:rsid w:val="00C46AFC"/>
    <w:rsid w:val="00C515F2"/>
    <w:rsid w:val="00C52155"/>
    <w:rsid w:val="00C53226"/>
    <w:rsid w:val="00C54171"/>
    <w:rsid w:val="00C5426C"/>
    <w:rsid w:val="00C55049"/>
    <w:rsid w:val="00C55860"/>
    <w:rsid w:val="00C55F17"/>
    <w:rsid w:val="00C565E9"/>
    <w:rsid w:val="00C567A6"/>
    <w:rsid w:val="00C60601"/>
    <w:rsid w:val="00C6094D"/>
    <w:rsid w:val="00C61294"/>
    <w:rsid w:val="00C63E6F"/>
    <w:rsid w:val="00C645EC"/>
    <w:rsid w:val="00C6656D"/>
    <w:rsid w:val="00C6665D"/>
    <w:rsid w:val="00C6770C"/>
    <w:rsid w:val="00C70AD4"/>
    <w:rsid w:val="00C71D43"/>
    <w:rsid w:val="00C754B7"/>
    <w:rsid w:val="00C7559A"/>
    <w:rsid w:val="00C75BD9"/>
    <w:rsid w:val="00C80D4A"/>
    <w:rsid w:val="00C81049"/>
    <w:rsid w:val="00C816A8"/>
    <w:rsid w:val="00C82BBE"/>
    <w:rsid w:val="00C8349F"/>
    <w:rsid w:val="00C83AD9"/>
    <w:rsid w:val="00C840C3"/>
    <w:rsid w:val="00C841DE"/>
    <w:rsid w:val="00C84E46"/>
    <w:rsid w:val="00C85164"/>
    <w:rsid w:val="00C91B69"/>
    <w:rsid w:val="00C928A2"/>
    <w:rsid w:val="00C92FA3"/>
    <w:rsid w:val="00C935D6"/>
    <w:rsid w:val="00C93B58"/>
    <w:rsid w:val="00C94563"/>
    <w:rsid w:val="00C94DD4"/>
    <w:rsid w:val="00C95464"/>
    <w:rsid w:val="00C970D4"/>
    <w:rsid w:val="00CA2478"/>
    <w:rsid w:val="00CA4C09"/>
    <w:rsid w:val="00CA657C"/>
    <w:rsid w:val="00CA6840"/>
    <w:rsid w:val="00CA702D"/>
    <w:rsid w:val="00CA7F00"/>
    <w:rsid w:val="00CB3C35"/>
    <w:rsid w:val="00CB5022"/>
    <w:rsid w:val="00CB61D4"/>
    <w:rsid w:val="00CB7296"/>
    <w:rsid w:val="00CB7EE0"/>
    <w:rsid w:val="00CC0A89"/>
    <w:rsid w:val="00CC2EB8"/>
    <w:rsid w:val="00CC418F"/>
    <w:rsid w:val="00CC42CF"/>
    <w:rsid w:val="00CC7DAE"/>
    <w:rsid w:val="00CD3BBC"/>
    <w:rsid w:val="00CD50FD"/>
    <w:rsid w:val="00CD554A"/>
    <w:rsid w:val="00CD5BAC"/>
    <w:rsid w:val="00CD5CDD"/>
    <w:rsid w:val="00CD5F28"/>
    <w:rsid w:val="00CE0BDF"/>
    <w:rsid w:val="00CE14C0"/>
    <w:rsid w:val="00CE2B6C"/>
    <w:rsid w:val="00CE3184"/>
    <w:rsid w:val="00CE40CA"/>
    <w:rsid w:val="00CE4654"/>
    <w:rsid w:val="00CE60F9"/>
    <w:rsid w:val="00CE73EE"/>
    <w:rsid w:val="00CE746A"/>
    <w:rsid w:val="00CE7632"/>
    <w:rsid w:val="00CE7820"/>
    <w:rsid w:val="00CF0918"/>
    <w:rsid w:val="00CF117B"/>
    <w:rsid w:val="00CF12D4"/>
    <w:rsid w:val="00CF1B1A"/>
    <w:rsid w:val="00CF4C85"/>
    <w:rsid w:val="00CF62BD"/>
    <w:rsid w:val="00CF66AA"/>
    <w:rsid w:val="00CF69EE"/>
    <w:rsid w:val="00CF7734"/>
    <w:rsid w:val="00CF7889"/>
    <w:rsid w:val="00D01C1B"/>
    <w:rsid w:val="00D02EC6"/>
    <w:rsid w:val="00D0462F"/>
    <w:rsid w:val="00D06F8B"/>
    <w:rsid w:val="00D07474"/>
    <w:rsid w:val="00D10032"/>
    <w:rsid w:val="00D10C0A"/>
    <w:rsid w:val="00D1179E"/>
    <w:rsid w:val="00D1264A"/>
    <w:rsid w:val="00D12917"/>
    <w:rsid w:val="00D136A4"/>
    <w:rsid w:val="00D14107"/>
    <w:rsid w:val="00D14577"/>
    <w:rsid w:val="00D145F6"/>
    <w:rsid w:val="00D15070"/>
    <w:rsid w:val="00D1721A"/>
    <w:rsid w:val="00D17BEA"/>
    <w:rsid w:val="00D216D0"/>
    <w:rsid w:val="00D23142"/>
    <w:rsid w:val="00D235CD"/>
    <w:rsid w:val="00D2385E"/>
    <w:rsid w:val="00D24318"/>
    <w:rsid w:val="00D259C4"/>
    <w:rsid w:val="00D275DE"/>
    <w:rsid w:val="00D27853"/>
    <w:rsid w:val="00D35432"/>
    <w:rsid w:val="00D36514"/>
    <w:rsid w:val="00D41EB1"/>
    <w:rsid w:val="00D41FA5"/>
    <w:rsid w:val="00D426A1"/>
    <w:rsid w:val="00D43378"/>
    <w:rsid w:val="00D439CF"/>
    <w:rsid w:val="00D4477A"/>
    <w:rsid w:val="00D47A35"/>
    <w:rsid w:val="00D506EB"/>
    <w:rsid w:val="00D50F71"/>
    <w:rsid w:val="00D518E6"/>
    <w:rsid w:val="00D53A61"/>
    <w:rsid w:val="00D54778"/>
    <w:rsid w:val="00D556D8"/>
    <w:rsid w:val="00D56394"/>
    <w:rsid w:val="00D60407"/>
    <w:rsid w:val="00D60CC7"/>
    <w:rsid w:val="00D62FF1"/>
    <w:rsid w:val="00D70420"/>
    <w:rsid w:val="00D7073C"/>
    <w:rsid w:val="00D70791"/>
    <w:rsid w:val="00D71E61"/>
    <w:rsid w:val="00D72876"/>
    <w:rsid w:val="00D73218"/>
    <w:rsid w:val="00D73726"/>
    <w:rsid w:val="00D73CA6"/>
    <w:rsid w:val="00D7596E"/>
    <w:rsid w:val="00D766D9"/>
    <w:rsid w:val="00D76B8A"/>
    <w:rsid w:val="00D800C7"/>
    <w:rsid w:val="00D818E5"/>
    <w:rsid w:val="00D822D9"/>
    <w:rsid w:val="00D83166"/>
    <w:rsid w:val="00D87203"/>
    <w:rsid w:val="00D91BD0"/>
    <w:rsid w:val="00D9252C"/>
    <w:rsid w:val="00D92B2B"/>
    <w:rsid w:val="00D93EB1"/>
    <w:rsid w:val="00D94805"/>
    <w:rsid w:val="00D94DB2"/>
    <w:rsid w:val="00D9513F"/>
    <w:rsid w:val="00D95682"/>
    <w:rsid w:val="00DA0843"/>
    <w:rsid w:val="00DA0FD7"/>
    <w:rsid w:val="00DA237B"/>
    <w:rsid w:val="00DA36C1"/>
    <w:rsid w:val="00DA497F"/>
    <w:rsid w:val="00DA4EE5"/>
    <w:rsid w:val="00DA53D2"/>
    <w:rsid w:val="00DA682E"/>
    <w:rsid w:val="00DA6F03"/>
    <w:rsid w:val="00DA789E"/>
    <w:rsid w:val="00DB1453"/>
    <w:rsid w:val="00DB2989"/>
    <w:rsid w:val="00DB2AB4"/>
    <w:rsid w:val="00DB2E50"/>
    <w:rsid w:val="00DB51CE"/>
    <w:rsid w:val="00DC21CF"/>
    <w:rsid w:val="00DC34FA"/>
    <w:rsid w:val="00DC3DB4"/>
    <w:rsid w:val="00DC5664"/>
    <w:rsid w:val="00DD0660"/>
    <w:rsid w:val="00DD14D2"/>
    <w:rsid w:val="00DD1C68"/>
    <w:rsid w:val="00DD22EA"/>
    <w:rsid w:val="00DD42B0"/>
    <w:rsid w:val="00DD4758"/>
    <w:rsid w:val="00DD4B3E"/>
    <w:rsid w:val="00DD67D8"/>
    <w:rsid w:val="00DE11C4"/>
    <w:rsid w:val="00DE1DA7"/>
    <w:rsid w:val="00DE24E3"/>
    <w:rsid w:val="00DE29F9"/>
    <w:rsid w:val="00DE346E"/>
    <w:rsid w:val="00DE4FBB"/>
    <w:rsid w:val="00DE5795"/>
    <w:rsid w:val="00DE6ED4"/>
    <w:rsid w:val="00DE7B16"/>
    <w:rsid w:val="00DE7FF6"/>
    <w:rsid w:val="00DF27F4"/>
    <w:rsid w:val="00DF2E1D"/>
    <w:rsid w:val="00DF389A"/>
    <w:rsid w:val="00DF549B"/>
    <w:rsid w:val="00DF5F82"/>
    <w:rsid w:val="00DF604B"/>
    <w:rsid w:val="00DF7EA3"/>
    <w:rsid w:val="00E00131"/>
    <w:rsid w:val="00E00347"/>
    <w:rsid w:val="00E009F4"/>
    <w:rsid w:val="00E02206"/>
    <w:rsid w:val="00E023A4"/>
    <w:rsid w:val="00E05310"/>
    <w:rsid w:val="00E05911"/>
    <w:rsid w:val="00E063DB"/>
    <w:rsid w:val="00E0674D"/>
    <w:rsid w:val="00E06E4C"/>
    <w:rsid w:val="00E07A62"/>
    <w:rsid w:val="00E107F3"/>
    <w:rsid w:val="00E10E11"/>
    <w:rsid w:val="00E1260B"/>
    <w:rsid w:val="00E12C2B"/>
    <w:rsid w:val="00E14245"/>
    <w:rsid w:val="00E1461C"/>
    <w:rsid w:val="00E148F0"/>
    <w:rsid w:val="00E14F72"/>
    <w:rsid w:val="00E15033"/>
    <w:rsid w:val="00E15D89"/>
    <w:rsid w:val="00E1747B"/>
    <w:rsid w:val="00E20D57"/>
    <w:rsid w:val="00E2186A"/>
    <w:rsid w:val="00E21CB4"/>
    <w:rsid w:val="00E225E0"/>
    <w:rsid w:val="00E22AAB"/>
    <w:rsid w:val="00E232C3"/>
    <w:rsid w:val="00E2361F"/>
    <w:rsid w:val="00E23E6B"/>
    <w:rsid w:val="00E24666"/>
    <w:rsid w:val="00E24D38"/>
    <w:rsid w:val="00E25D93"/>
    <w:rsid w:val="00E27520"/>
    <w:rsid w:val="00E31129"/>
    <w:rsid w:val="00E317D7"/>
    <w:rsid w:val="00E31A1A"/>
    <w:rsid w:val="00E31D68"/>
    <w:rsid w:val="00E34523"/>
    <w:rsid w:val="00E362EE"/>
    <w:rsid w:val="00E3698E"/>
    <w:rsid w:val="00E37163"/>
    <w:rsid w:val="00E37457"/>
    <w:rsid w:val="00E37D5A"/>
    <w:rsid w:val="00E37D69"/>
    <w:rsid w:val="00E428B4"/>
    <w:rsid w:val="00E43DD6"/>
    <w:rsid w:val="00E43FAA"/>
    <w:rsid w:val="00E452D5"/>
    <w:rsid w:val="00E46097"/>
    <w:rsid w:val="00E460EA"/>
    <w:rsid w:val="00E4707E"/>
    <w:rsid w:val="00E51538"/>
    <w:rsid w:val="00E519AD"/>
    <w:rsid w:val="00E5336D"/>
    <w:rsid w:val="00E5366A"/>
    <w:rsid w:val="00E542DC"/>
    <w:rsid w:val="00E54985"/>
    <w:rsid w:val="00E55754"/>
    <w:rsid w:val="00E56F9A"/>
    <w:rsid w:val="00E57569"/>
    <w:rsid w:val="00E61032"/>
    <w:rsid w:val="00E6115E"/>
    <w:rsid w:val="00E6158F"/>
    <w:rsid w:val="00E6176A"/>
    <w:rsid w:val="00E61838"/>
    <w:rsid w:val="00E61F6D"/>
    <w:rsid w:val="00E658F6"/>
    <w:rsid w:val="00E6591F"/>
    <w:rsid w:val="00E668D6"/>
    <w:rsid w:val="00E672F4"/>
    <w:rsid w:val="00E709FE"/>
    <w:rsid w:val="00E70CA2"/>
    <w:rsid w:val="00E70E70"/>
    <w:rsid w:val="00E71948"/>
    <w:rsid w:val="00E725AD"/>
    <w:rsid w:val="00E75AD2"/>
    <w:rsid w:val="00E7745D"/>
    <w:rsid w:val="00E8311F"/>
    <w:rsid w:val="00E86EAB"/>
    <w:rsid w:val="00E90B9F"/>
    <w:rsid w:val="00E92022"/>
    <w:rsid w:val="00E92409"/>
    <w:rsid w:val="00E930F3"/>
    <w:rsid w:val="00E9771A"/>
    <w:rsid w:val="00EA2039"/>
    <w:rsid w:val="00EA285C"/>
    <w:rsid w:val="00EA4985"/>
    <w:rsid w:val="00EA531E"/>
    <w:rsid w:val="00EA5E03"/>
    <w:rsid w:val="00EA5E58"/>
    <w:rsid w:val="00EB04B6"/>
    <w:rsid w:val="00EB1914"/>
    <w:rsid w:val="00EB1ADB"/>
    <w:rsid w:val="00EB2766"/>
    <w:rsid w:val="00EB4767"/>
    <w:rsid w:val="00EB6E59"/>
    <w:rsid w:val="00EB7297"/>
    <w:rsid w:val="00EC0559"/>
    <w:rsid w:val="00EC0795"/>
    <w:rsid w:val="00EC1717"/>
    <w:rsid w:val="00EC1DE6"/>
    <w:rsid w:val="00EC30A4"/>
    <w:rsid w:val="00EC4723"/>
    <w:rsid w:val="00EC4F48"/>
    <w:rsid w:val="00EC595D"/>
    <w:rsid w:val="00EC6855"/>
    <w:rsid w:val="00EC7B2B"/>
    <w:rsid w:val="00ED0183"/>
    <w:rsid w:val="00ED0BFB"/>
    <w:rsid w:val="00ED0E91"/>
    <w:rsid w:val="00ED16F9"/>
    <w:rsid w:val="00ED209E"/>
    <w:rsid w:val="00ED25EE"/>
    <w:rsid w:val="00ED2864"/>
    <w:rsid w:val="00ED2D53"/>
    <w:rsid w:val="00ED2FB1"/>
    <w:rsid w:val="00ED3A7E"/>
    <w:rsid w:val="00ED41B2"/>
    <w:rsid w:val="00ED4B0B"/>
    <w:rsid w:val="00ED5431"/>
    <w:rsid w:val="00ED6772"/>
    <w:rsid w:val="00ED71C6"/>
    <w:rsid w:val="00ED75E6"/>
    <w:rsid w:val="00EE0A27"/>
    <w:rsid w:val="00EE0DD3"/>
    <w:rsid w:val="00EE11FD"/>
    <w:rsid w:val="00EE1778"/>
    <w:rsid w:val="00EE1C1E"/>
    <w:rsid w:val="00EE1D95"/>
    <w:rsid w:val="00EE3D1E"/>
    <w:rsid w:val="00EE3D2F"/>
    <w:rsid w:val="00EE574A"/>
    <w:rsid w:val="00EE76C4"/>
    <w:rsid w:val="00EF0A9C"/>
    <w:rsid w:val="00EF3AE6"/>
    <w:rsid w:val="00EF3CF4"/>
    <w:rsid w:val="00EF3E58"/>
    <w:rsid w:val="00EF4C18"/>
    <w:rsid w:val="00EF55CB"/>
    <w:rsid w:val="00EF5984"/>
    <w:rsid w:val="00EF5C30"/>
    <w:rsid w:val="00EF635C"/>
    <w:rsid w:val="00EF652F"/>
    <w:rsid w:val="00EF785C"/>
    <w:rsid w:val="00F03D32"/>
    <w:rsid w:val="00F059C6"/>
    <w:rsid w:val="00F11D11"/>
    <w:rsid w:val="00F12152"/>
    <w:rsid w:val="00F1215F"/>
    <w:rsid w:val="00F123CC"/>
    <w:rsid w:val="00F15695"/>
    <w:rsid w:val="00F16412"/>
    <w:rsid w:val="00F21411"/>
    <w:rsid w:val="00F22CE5"/>
    <w:rsid w:val="00F23827"/>
    <w:rsid w:val="00F24A73"/>
    <w:rsid w:val="00F270A7"/>
    <w:rsid w:val="00F3248F"/>
    <w:rsid w:val="00F337E9"/>
    <w:rsid w:val="00F33958"/>
    <w:rsid w:val="00F33FF4"/>
    <w:rsid w:val="00F35B70"/>
    <w:rsid w:val="00F36063"/>
    <w:rsid w:val="00F36AC7"/>
    <w:rsid w:val="00F36D91"/>
    <w:rsid w:val="00F37329"/>
    <w:rsid w:val="00F37B2F"/>
    <w:rsid w:val="00F401C5"/>
    <w:rsid w:val="00F40F33"/>
    <w:rsid w:val="00F41F38"/>
    <w:rsid w:val="00F436B1"/>
    <w:rsid w:val="00F43B09"/>
    <w:rsid w:val="00F43F77"/>
    <w:rsid w:val="00F473AF"/>
    <w:rsid w:val="00F47575"/>
    <w:rsid w:val="00F47EE3"/>
    <w:rsid w:val="00F50AC2"/>
    <w:rsid w:val="00F51C03"/>
    <w:rsid w:val="00F521BB"/>
    <w:rsid w:val="00F52D59"/>
    <w:rsid w:val="00F53952"/>
    <w:rsid w:val="00F53FBA"/>
    <w:rsid w:val="00F54689"/>
    <w:rsid w:val="00F5579D"/>
    <w:rsid w:val="00F567C5"/>
    <w:rsid w:val="00F56A20"/>
    <w:rsid w:val="00F61AF4"/>
    <w:rsid w:val="00F6422D"/>
    <w:rsid w:val="00F6692A"/>
    <w:rsid w:val="00F66F21"/>
    <w:rsid w:val="00F66FF3"/>
    <w:rsid w:val="00F70296"/>
    <w:rsid w:val="00F702A0"/>
    <w:rsid w:val="00F71C39"/>
    <w:rsid w:val="00F72B48"/>
    <w:rsid w:val="00F7401D"/>
    <w:rsid w:val="00F80C9A"/>
    <w:rsid w:val="00F80D95"/>
    <w:rsid w:val="00F8164E"/>
    <w:rsid w:val="00F81AD3"/>
    <w:rsid w:val="00F81D01"/>
    <w:rsid w:val="00F82E94"/>
    <w:rsid w:val="00F8300F"/>
    <w:rsid w:val="00F83428"/>
    <w:rsid w:val="00F84992"/>
    <w:rsid w:val="00F857F0"/>
    <w:rsid w:val="00F8788A"/>
    <w:rsid w:val="00F90398"/>
    <w:rsid w:val="00F90837"/>
    <w:rsid w:val="00F91E9D"/>
    <w:rsid w:val="00F922A5"/>
    <w:rsid w:val="00F946AC"/>
    <w:rsid w:val="00F96047"/>
    <w:rsid w:val="00FA11D0"/>
    <w:rsid w:val="00FA3FFB"/>
    <w:rsid w:val="00FA4EC0"/>
    <w:rsid w:val="00FA52E4"/>
    <w:rsid w:val="00FA616C"/>
    <w:rsid w:val="00FA76D9"/>
    <w:rsid w:val="00FB053C"/>
    <w:rsid w:val="00FB05D8"/>
    <w:rsid w:val="00FB43FA"/>
    <w:rsid w:val="00FB4BFD"/>
    <w:rsid w:val="00FB51FF"/>
    <w:rsid w:val="00FB5B3D"/>
    <w:rsid w:val="00FB5D29"/>
    <w:rsid w:val="00FB62CC"/>
    <w:rsid w:val="00FB788E"/>
    <w:rsid w:val="00FC13A5"/>
    <w:rsid w:val="00FC1828"/>
    <w:rsid w:val="00FC6C96"/>
    <w:rsid w:val="00FD06E6"/>
    <w:rsid w:val="00FD1876"/>
    <w:rsid w:val="00FD5764"/>
    <w:rsid w:val="00FD643C"/>
    <w:rsid w:val="00FD7122"/>
    <w:rsid w:val="00FD74DA"/>
    <w:rsid w:val="00FE019F"/>
    <w:rsid w:val="00FE11E9"/>
    <w:rsid w:val="00FE677A"/>
    <w:rsid w:val="00FE6A2A"/>
    <w:rsid w:val="00FE7671"/>
    <w:rsid w:val="00FF23CD"/>
    <w:rsid w:val="00FF334C"/>
    <w:rsid w:val="00FF3E46"/>
    <w:rsid w:val="00FF427C"/>
    <w:rsid w:val="00FF4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8B"/>
    <w:pPr>
      <w:ind w:left="720"/>
      <w:contextualSpacing/>
    </w:pPr>
  </w:style>
  <w:style w:type="character" w:styleId="CommentReference">
    <w:name w:val="annotation reference"/>
    <w:basedOn w:val="DefaultParagraphFont"/>
    <w:uiPriority w:val="99"/>
    <w:semiHidden/>
    <w:unhideWhenUsed/>
    <w:rsid w:val="00CB7EE0"/>
    <w:rPr>
      <w:sz w:val="16"/>
      <w:szCs w:val="16"/>
    </w:rPr>
  </w:style>
  <w:style w:type="paragraph" w:styleId="CommentText">
    <w:name w:val="annotation text"/>
    <w:basedOn w:val="Normal"/>
    <w:link w:val="CommentTextChar"/>
    <w:uiPriority w:val="99"/>
    <w:unhideWhenUsed/>
    <w:rsid w:val="00CB7EE0"/>
    <w:pPr>
      <w:spacing w:line="240" w:lineRule="auto"/>
    </w:pPr>
    <w:rPr>
      <w:sz w:val="20"/>
      <w:szCs w:val="20"/>
    </w:rPr>
  </w:style>
  <w:style w:type="character" w:customStyle="1" w:styleId="CommentTextChar">
    <w:name w:val="Comment Text Char"/>
    <w:basedOn w:val="DefaultParagraphFont"/>
    <w:link w:val="CommentText"/>
    <w:uiPriority w:val="99"/>
    <w:rsid w:val="00CB7EE0"/>
    <w:rPr>
      <w:sz w:val="20"/>
      <w:szCs w:val="20"/>
    </w:rPr>
  </w:style>
  <w:style w:type="paragraph" w:styleId="CommentSubject">
    <w:name w:val="annotation subject"/>
    <w:basedOn w:val="CommentText"/>
    <w:next w:val="CommentText"/>
    <w:link w:val="CommentSubjectChar"/>
    <w:uiPriority w:val="99"/>
    <w:semiHidden/>
    <w:unhideWhenUsed/>
    <w:rsid w:val="00CB7EE0"/>
    <w:rPr>
      <w:b/>
      <w:bCs/>
    </w:rPr>
  </w:style>
  <w:style w:type="character" w:customStyle="1" w:styleId="CommentSubjectChar">
    <w:name w:val="Comment Subject Char"/>
    <w:basedOn w:val="CommentTextChar"/>
    <w:link w:val="CommentSubject"/>
    <w:uiPriority w:val="99"/>
    <w:semiHidden/>
    <w:rsid w:val="00CB7EE0"/>
    <w:rPr>
      <w:b/>
      <w:bCs/>
      <w:sz w:val="20"/>
      <w:szCs w:val="20"/>
    </w:rPr>
  </w:style>
  <w:style w:type="paragraph" w:styleId="BalloonText">
    <w:name w:val="Balloon Text"/>
    <w:basedOn w:val="Normal"/>
    <w:link w:val="BalloonTextChar"/>
    <w:uiPriority w:val="99"/>
    <w:semiHidden/>
    <w:unhideWhenUsed/>
    <w:rsid w:val="00CB7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E0"/>
    <w:rPr>
      <w:rFonts w:ascii="Tahoma" w:hAnsi="Tahoma" w:cs="Tahoma"/>
      <w:sz w:val="16"/>
      <w:szCs w:val="16"/>
    </w:rPr>
  </w:style>
  <w:style w:type="character" w:styleId="Hyperlink">
    <w:name w:val="Hyperlink"/>
    <w:basedOn w:val="DefaultParagraphFont"/>
    <w:uiPriority w:val="99"/>
    <w:unhideWhenUsed/>
    <w:rsid w:val="004F09A0"/>
    <w:rPr>
      <w:color w:val="0000FF" w:themeColor="hyperlink"/>
      <w:u w:val="single"/>
    </w:rPr>
  </w:style>
  <w:style w:type="paragraph" w:styleId="Caption">
    <w:name w:val="caption"/>
    <w:basedOn w:val="Normal"/>
    <w:next w:val="Normal"/>
    <w:uiPriority w:val="35"/>
    <w:unhideWhenUsed/>
    <w:qFormat/>
    <w:rsid w:val="003E6D93"/>
    <w:pPr>
      <w:spacing w:line="240" w:lineRule="auto"/>
    </w:pPr>
    <w:rPr>
      <w:b/>
      <w:bCs/>
      <w:color w:val="4F81BD" w:themeColor="accent1"/>
      <w:sz w:val="18"/>
      <w:szCs w:val="18"/>
    </w:rPr>
  </w:style>
  <w:style w:type="paragraph" w:styleId="Header">
    <w:name w:val="header"/>
    <w:basedOn w:val="Normal"/>
    <w:link w:val="HeaderChar"/>
    <w:uiPriority w:val="99"/>
    <w:unhideWhenUsed/>
    <w:rsid w:val="000B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5C"/>
  </w:style>
  <w:style w:type="paragraph" w:styleId="Footer">
    <w:name w:val="footer"/>
    <w:basedOn w:val="Normal"/>
    <w:link w:val="FooterChar"/>
    <w:uiPriority w:val="99"/>
    <w:unhideWhenUsed/>
    <w:rsid w:val="000B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65C"/>
  </w:style>
  <w:style w:type="paragraph" w:styleId="Quote">
    <w:name w:val="Quote"/>
    <w:basedOn w:val="Normal"/>
    <w:next w:val="Normal"/>
    <w:link w:val="QuoteChar"/>
    <w:uiPriority w:val="29"/>
    <w:qFormat/>
    <w:rsid w:val="00AB479E"/>
    <w:pPr>
      <w:spacing w:after="160" w:line="240" w:lineRule="auto"/>
      <w:ind w:left="720" w:right="720"/>
    </w:pPr>
    <w:rPr>
      <w:i/>
      <w:iCs/>
      <w:color w:val="000000" w:themeColor="text1"/>
    </w:rPr>
  </w:style>
  <w:style w:type="character" w:customStyle="1" w:styleId="QuoteChar">
    <w:name w:val="Quote Char"/>
    <w:basedOn w:val="DefaultParagraphFont"/>
    <w:link w:val="Quote"/>
    <w:uiPriority w:val="29"/>
    <w:rsid w:val="00AB479E"/>
    <w:rPr>
      <w:i/>
      <w:iCs/>
      <w:color w:val="000000" w:themeColor="text1"/>
    </w:rPr>
  </w:style>
  <w:style w:type="paragraph" w:styleId="Revision">
    <w:name w:val="Revision"/>
    <w:hidden/>
    <w:uiPriority w:val="99"/>
    <w:semiHidden/>
    <w:rsid w:val="002C6C1B"/>
    <w:pPr>
      <w:spacing w:after="0" w:line="240" w:lineRule="auto"/>
    </w:pPr>
  </w:style>
  <w:style w:type="paragraph" w:styleId="NormalWeb">
    <w:name w:val="Normal (Web)"/>
    <w:basedOn w:val="Normal"/>
    <w:uiPriority w:val="99"/>
    <w:semiHidden/>
    <w:unhideWhenUsed/>
    <w:rsid w:val="00E23E6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2D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8B"/>
    <w:pPr>
      <w:ind w:left="720"/>
      <w:contextualSpacing/>
    </w:pPr>
  </w:style>
  <w:style w:type="character" w:styleId="CommentReference">
    <w:name w:val="annotation reference"/>
    <w:basedOn w:val="DefaultParagraphFont"/>
    <w:uiPriority w:val="99"/>
    <w:semiHidden/>
    <w:unhideWhenUsed/>
    <w:rsid w:val="00CB7EE0"/>
    <w:rPr>
      <w:sz w:val="16"/>
      <w:szCs w:val="16"/>
    </w:rPr>
  </w:style>
  <w:style w:type="paragraph" w:styleId="CommentText">
    <w:name w:val="annotation text"/>
    <w:basedOn w:val="Normal"/>
    <w:link w:val="CommentTextChar"/>
    <w:uiPriority w:val="99"/>
    <w:unhideWhenUsed/>
    <w:rsid w:val="00CB7EE0"/>
    <w:pPr>
      <w:spacing w:line="240" w:lineRule="auto"/>
    </w:pPr>
    <w:rPr>
      <w:sz w:val="20"/>
      <w:szCs w:val="20"/>
    </w:rPr>
  </w:style>
  <w:style w:type="character" w:customStyle="1" w:styleId="CommentTextChar">
    <w:name w:val="Comment Text Char"/>
    <w:basedOn w:val="DefaultParagraphFont"/>
    <w:link w:val="CommentText"/>
    <w:uiPriority w:val="99"/>
    <w:rsid w:val="00CB7EE0"/>
    <w:rPr>
      <w:sz w:val="20"/>
      <w:szCs w:val="20"/>
    </w:rPr>
  </w:style>
  <w:style w:type="paragraph" w:styleId="CommentSubject">
    <w:name w:val="annotation subject"/>
    <w:basedOn w:val="CommentText"/>
    <w:next w:val="CommentText"/>
    <w:link w:val="CommentSubjectChar"/>
    <w:uiPriority w:val="99"/>
    <w:semiHidden/>
    <w:unhideWhenUsed/>
    <w:rsid w:val="00CB7EE0"/>
    <w:rPr>
      <w:b/>
      <w:bCs/>
    </w:rPr>
  </w:style>
  <w:style w:type="character" w:customStyle="1" w:styleId="CommentSubjectChar">
    <w:name w:val="Comment Subject Char"/>
    <w:basedOn w:val="CommentTextChar"/>
    <w:link w:val="CommentSubject"/>
    <w:uiPriority w:val="99"/>
    <w:semiHidden/>
    <w:rsid w:val="00CB7EE0"/>
    <w:rPr>
      <w:b/>
      <w:bCs/>
      <w:sz w:val="20"/>
      <w:szCs w:val="20"/>
    </w:rPr>
  </w:style>
  <w:style w:type="paragraph" w:styleId="BalloonText">
    <w:name w:val="Balloon Text"/>
    <w:basedOn w:val="Normal"/>
    <w:link w:val="BalloonTextChar"/>
    <w:uiPriority w:val="99"/>
    <w:semiHidden/>
    <w:unhideWhenUsed/>
    <w:rsid w:val="00CB7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E0"/>
    <w:rPr>
      <w:rFonts w:ascii="Tahoma" w:hAnsi="Tahoma" w:cs="Tahoma"/>
      <w:sz w:val="16"/>
      <w:szCs w:val="16"/>
    </w:rPr>
  </w:style>
  <w:style w:type="character" w:styleId="Hyperlink">
    <w:name w:val="Hyperlink"/>
    <w:basedOn w:val="DefaultParagraphFont"/>
    <w:uiPriority w:val="99"/>
    <w:unhideWhenUsed/>
    <w:rsid w:val="004F09A0"/>
    <w:rPr>
      <w:color w:val="0000FF" w:themeColor="hyperlink"/>
      <w:u w:val="single"/>
    </w:rPr>
  </w:style>
  <w:style w:type="paragraph" w:styleId="Caption">
    <w:name w:val="caption"/>
    <w:basedOn w:val="Normal"/>
    <w:next w:val="Normal"/>
    <w:uiPriority w:val="35"/>
    <w:unhideWhenUsed/>
    <w:qFormat/>
    <w:rsid w:val="003E6D93"/>
    <w:pPr>
      <w:spacing w:line="240" w:lineRule="auto"/>
    </w:pPr>
    <w:rPr>
      <w:b/>
      <w:bCs/>
      <w:color w:val="4F81BD" w:themeColor="accent1"/>
      <w:sz w:val="18"/>
      <w:szCs w:val="18"/>
    </w:rPr>
  </w:style>
  <w:style w:type="paragraph" w:styleId="Header">
    <w:name w:val="header"/>
    <w:basedOn w:val="Normal"/>
    <w:link w:val="HeaderChar"/>
    <w:uiPriority w:val="99"/>
    <w:unhideWhenUsed/>
    <w:rsid w:val="000B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5C"/>
  </w:style>
  <w:style w:type="paragraph" w:styleId="Footer">
    <w:name w:val="footer"/>
    <w:basedOn w:val="Normal"/>
    <w:link w:val="FooterChar"/>
    <w:uiPriority w:val="99"/>
    <w:unhideWhenUsed/>
    <w:rsid w:val="000B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65C"/>
  </w:style>
  <w:style w:type="paragraph" w:styleId="Quote">
    <w:name w:val="Quote"/>
    <w:basedOn w:val="Normal"/>
    <w:next w:val="Normal"/>
    <w:link w:val="QuoteChar"/>
    <w:uiPriority w:val="29"/>
    <w:qFormat/>
    <w:rsid w:val="00AB479E"/>
    <w:pPr>
      <w:spacing w:after="160" w:line="240" w:lineRule="auto"/>
      <w:ind w:left="720" w:right="720"/>
    </w:pPr>
    <w:rPr>
      <w:i/>
      <w:iCs/>
      <w:color w:val="000000" w:themeColor="text1"/>
    </w:rPr>
  </w:style>
  <w:style w:type="character" w:customStyle="1" w:styleId="QuoteChar">
    <w:name w:val="Quote Char"/>
    <w:basedOn w:val="DefaultParagraphFont"/>
    <w:link w:val="Quote"/>
    <w:uiPriority w:val="29"/>
    <w:rsid w:val="00AB479E"/>
    <w:rPr>
      <w:i/>
      <w:iCs/>
      <w:color w:val="000000" w:themeColor="text1"/>
    </w:rPr>
  </w:style>
  <w:style w:type="paragraph" w:styleId="Revision">
    <w:name w:val="Revision"/>
    <w:hidden/>
    <w:uiPriority w:val="99"/>
    <w:semiHidden/>
    <w:rsid w:val="002C6C1B"/>
    <w:pPr>
      <w:spacing w:after="0" w:line="240" w:lineRule="auto"/>
    </w:pPr>
  </w:style>
  <w:style w:type="paragraph" w:styleId="NormalWeb">
    <w:name w:val="Normal (Web)"/>
    <w:basedOn w:val="Normal"/>
    <w:uiPriority w:val="99"/>
    <w:semiHidden/>
    <w:unhideWhenUsed/>
    <w:rsid w:val="00E23E6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2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8314">
      <w:bodyDiv w:val="1"/>
      <w:marLeft w:val="0"/>
      <w:marRight w:val="0"/>
      <w:marTop w:val="0"/>
      <w:marBottom w:val="0"/>
      <w:divBdr>
        <w:top w:val="none" w:sz="0" w:space="0" w:color="auto"/>
        <w:left w:val="none" w:sz="0" w:space="0" w:color="auto"/>
        <w:bottom w:val="none" w:sz="0" w:space="0" w:color="auto"/>
        <w:right w:val="none" w:sz="0" w:space="0" w:color="auto"/>
      </w:divBdr>
    </w:div>
    <w:div w:id="753164362">
      <w:bodyDiv w:val="1"/>
      <w:marLeft w:val="0"/>
      <w:marRight w:val="0"/>
      <w:marTop w:val="0"/>
      <w:marBottom w:val="0"/>
      <w:divBdr>
        <w:top w:val="none" w:sz="0" w:space="0" w:color="auto"/>
        <w:left w:val="none" w:sz="0" w:space="0" w:color="auto"/>
        <w:bottom w:val="none" w:sz="0" w:space="0" w:color="auto"/>
        <w:right w:val="none" w:sz="0" w:space="0" w:color="auto"/>
      </w:divBdr>
      <w:divsChild>
        <w:div w:id="1638027101">
          <w:marLeft w:val="0"/>
          <w:marRight w:val="0"/>
          <w:marTop w:val="0"/>
          <w:marBottom w:val="0"/>
          <w:divBdr>
            <w:top w:val="none" w:sz="0" w:space="0" w:color="auto"/>
            <w:left w:val="none" w:sz="0" w:space="0" w:color="auto"/>
            <w:bottom w:val="none" w:sz="0" w:space="0" w:color="auto"/>
            <w:right w:val="none" w:sz="0" w:space="0" w:color="auto"/>
          </w:divBdr>
        </w:div>
        <w:div w:id="122175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easlip@bournemouth.ac.uk" TargetMode="External"/><Relationship Id="rId13" Type="http://schemas.openxmlformats.org/officeDocument/2006/relationships/hyperlink" Target="mailto:chrishogg@chogg.com" TargetMode="External"/><Relationship Id="rId18" Type="http://schemas.openxmlformats.org/officeDocument/2006/relationships/hyperlink" Target="mailto:vheaslip@bournemouth.ac.uk" TargetMode="External"/><Relationship Id="rId26" Type="http://schemas.openxmlformats.org/officeDocument/2006/relationships/hyperlink" Target="https://www.google.com/url?sa=t&amp;rct=j&amp;q=&amp;esrc=s&amp;source=web&amp;cd=1&amp;ved=2ahUKEwjTnY3hgZjgAhWdSxUIHbB2DWQQFjAAegQIChAC&amp;url=http%3A%2F%2Fpublications.naturalengland.org.uk%2Ffile%2F4681263907078144&amp;usg=AOvVaw0fEJByhAFvU7tM4AjHtcSt"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staelens@bournemouth.ac.uk" TargetMode="External"/><Relationship Id="rId17" Type="http://schemas.openxmlformats.org/officeDocument/2006/relationships/hyperlink" Target="mailto:toby.sutcliffe@nhs.net" TargetMode="External"/><Relationship Id="rId25" Type="http://schemas.openxmlformats.org/officeDocument/2006/relationships/hyperlink" Target="https://www.gov.uk/guidance/operation-nightinga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iony.clifton@nationaltrust.org.uk" TargetMode="External"/><Relationship Id="rId20" Type="http://schemas.openxmlformats.org/officeDocument/2006/relationships/image" Target="media/image1.png"/><Relationship Id="rId29" Type="http://schemas.openxmlformats.org/officeDocument/2006/relationships/hyperlink" Target="https://sustainabledevelopment.un.org/post2015/transformingourworl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darvill@bournemouth.ac.uk" TargetMode="External"/><Relationship Id="rId24" Type="http://schemas.openxmlformats.org/officeDocument/2006/relationships/hyperlink" Target="https://www.kingsfund.org.uk/publications/social-prescribing" TargetMode="External"/><Relationship Id="rId32" Type="http://schemas.openxmlformats.org/officeDocument/2006/relationships/hyperlink" Target="http://apps.who.int/iris/bitstream/handle/10665/89966/9789241506021_eng.pdf;jsessionid=0C51601F3EACE1D94BC8CE6920D30E45?sequence=1" TargetMode="External"/><Relationship Id="rId5" Type="http://schemas.openxmlformats.org/officeDocument/2006/relationships/webSettings" Target="webSettings.xml"/><Relationship Id="rId15" Type="http://schemas.openxmlformats.org/officeDocument/2006/relationships/hyperlink" Target="mailto:Martin.allfrey@english-heritage.org.uk" TargetMode="External"/><Relationship Id="rId23" Type="http://schemas.openxmlformats.org/officeDocument/2006/relationships/hyperlink" Target="https://assets.publishing.service.gov.uk/government/uploads/system/uploads/attachment_data/file/416279/A_review_of_the_Social_Impacts_of_Culture_and_Sport.pdf" TargetMode="External"/><Relationship Id="rId28" Type="http://schemas.openxmlformats.org/officeDocument/2006/relationships/hyperlink" Target="https://www.ons.gov.uk/peoplepopulationandcommunity/wellbeing/articles/measuringnationalwellbeing/apr2017" TargetMode="External"/><Relationship Id="rId10" Type="http://schemas.openxmlformats.org/officeDocument/2006/relationships/hyperlink" Target="mailto:MHind@bournemouth.ac.uk" TargetMode="External"/><Relationship Id="rId19" Type="http://schemas.openxmlformats.org/officeDocument/2006/relationships/footer" Target="footer1.xml"/><Relationship Id="rId31" Type="http://schemas.openxmlformats.org/officeDocument/2006/relationships/hyperlink" Target="http://www.who.int/features/factfiles/mental_health/en/" TargetMode="External"/><Relationship Id="rId4" Type="http://schemas.openxmlformats.org/officeDocument/2006/relationships/settings" Target="settings.xml"/><Relationship Id="rId9" Type="http://schemas.openxmlformats.org/officeDocument/2006/relationships/hyperlink" Target="mailto:mvahdaninia@bournemouth.ac.uk" TargetMode="External"/><Relationship Id="rId14" Type="http://schemas.openxmlformats.org/officeDocument/2006/relationships/hyperlink" Target="mailto:saralunt13@gmail.com" TargetMode="External"/><Relationship Id="rId22" Type="http://schemas.openxmlformats.org/officeDocument/2006/relationships/image" Target="media/image3.png"/><Relationship Id="rId27" Type="http://schemas.openxmlformats.org/officeDocument/2006/relationships/hyperlink" Target="https://www.ons.gov.uk/peoplepopulationandcommunity/wellbeing/articles/measuresofnationalwellbeingdashboard/2018-04-25" TargetMode="External"/><Relationship Id="rId30" Type="http://schemas.openxmlformats.org/officeDocument/2006/relationships/hyperlink" Target="http://www.waterloouncov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9930</Words>
  <Characters>56603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Vahdaninia</dc:creator>
  <cp:lastModifiedBy>Vanessa Heaslip</cp:lastModifiedBy>
  <cp:revision>2</cp:revision>
  <dcterms:created xsi:type="dcterms:W3CDTF">2020-01-08T10:35:00Z</dcterms:created>
  <dcterms:modified xsi:type="dcterms:W3CDTF">2020-01-08T10:35:00Z</dcterms:modified>
</cp:coreProperties>
</file>